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DA1E" w14:textId="4E47DF82" w:rsidR="00E203C2" w:rsidRDefault="00E203C2" w:rsidP="00E203C2">
      <w:r>
        <w:rPr>
          <w:noProof/>
          <w:lang w:eastAsia="en-GB" w:bidi="ar-SA"/>
        </w:rPr>
        <w:drawing>
          <wp:inline distT="0" distB="0" distL="0" distR="0" wp14:anchorId="53705D84" wp14:editId="36566E0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64DFDFD" w14:textId="0C163023" w:rsidR="00BA24E2" w:rsidRPr="00D26E0D" w:rsidRDefault="00092CDA" w:rsidP="00D26E0D">
      <w:pPr>
        <w:pStyle w:val="FSTitle"/>
        <w:spacing w:before="240" w:after="240"/>
        <w:rPr>
          <w:b/>
        </w:rPr>
      </w:pPr>
      <w:r w:rsidRPr="005B7A73">
        <w:rPr>
          <w:b/>
        </w:rPr>
        <w:t>S</w:t>
      </w:r>
      <w:r w:rsidR="00B12F1E" w:rsidRPr="005B7A73">
        <w:rPr>
          <w:b/>
        </w:rPr>
        <w:t>upporting document</w:t>
      </w:r>
      <w:r w:rsidRPr="00C06E3F">
        <w:rPr>
          <w:b/>
        </w:rPr>
        <w:t xml:space="preserve"> </w:t>
      </w:r>
      <w:r w:rsidR="008946E3" w:rsidRPr="00DB1673">
        <w:rPr>
          <w:b/>
        </w:rPr>
        <w:t>2</w:t>
      </w:r>
    </w:p>
    <w:p w14:paraId="48392800" w14:textId="395E51C8" w:rsidR="00E203C2" w:rsidRPr="00D26E0D" w:rsidRDefault="00320D31" w:rsidP="00D26E0D">
      <w:pPr>
        <w:pStyle w:val="FSTitle"/>
        <w:spacing w:after="240"/>
        <w:rPr>
          <w:b/>
        </w:rPr>
      </w:pPr>
      <w:r>
        <w:t>Nutrition Risk A</w:t>
      </w:r>
      <w:r w:rsidR="00320839" w:rsidRPr="00392115">
        <w:t>ssessment</w:t>
      </w:r>
      <w:r w:rsidR="006B5EBE" w:rsidRPr="00392115">
        <w:t xml:space="preserve"> </w:t>
      </w:r>
      <w:r w:rsidR="006B5EBE" w:rsidRPr="00A11F53">
        <w:t>–</w:t>
      </w:r>
      <w:r w:rsidR="006B5EBE" w:rsidRPr="00A11F53">
        <w:rPr>
          <w:b/>
        </w:rPr>
        <w:t xml:space="preserve"> </w:t>
      </w:r>
      <w:r w:rsidR="00392115" w:rsidRPr="00A11F53">
        <w:t>Application A1239</w:t>
      </w:r>
    </w:p>
    <w:p w14:paraId="1CDF0D5B" w14:textId="1844AE54" w:rsidR="00392115" w:rsidRPr="004E1EDB" w:rsidRDefault="00392115" w:rsidP="00392115">
      <w:pPr>
        <w:pStyle w:val="FSTitle"/>
      </w:pPr>
      <w:r w:rsidRPr="008206C0">
        <w:rPr>
          <w:iCs/>
          <w:szCs w:val="32"/>
        </w:rPr>
        <w:t xml:space="preserve">Food derived from </w:t>
      </w:r>
      <w:r>
        <w:rPr>
          <w:iCs/>
          <w:szCs w:val="32"/>
        </w:rPr>
        <w:t>EPA</w:t>
      </w:r>
      <w:r w:rsidR="00CB6030">
        <w:rPr>
          <w:iCs/>
          <w:szCs w:val="32"/>
        </w:rPr>
        <w:t xml:space="preserve"> and </w:t>
      </w:r>
      <w:r>
        <w:rPr>
          <w:iCs/>
          <w:szCs w:val="32"/>
        </w:rPr>
        <w:t xml:space="preserve">DHA </w:t>
      </w:r>
      <w:r w:rsidR="00CB6030">
        <w:rPr>
          <w:iCs/>
          <w:szCs w:val="32"/>
        </w:rPr>
        <w:t xml:space="preserve">producing </w:t>
      </w:r>
      <w:r>
        <w:rPr>
          <w:iCs/>
          <w:szCs w:val="32"/>
        </w:rPr>
        <w:t>and herbicide-tolerant</w:t>
      </w:r>
      <w:r w:rsidRPr="008206C0">
        <w:rPr>
          <w:iCs/>
          <w:szCs w:val="32"/>
        </w:rPr>
        <w:t xml:space="preserve"> </w:t>
      </w:r>
      <w:r>
        <w:rPr>
          <w:iCs/>
          <w:szCs w:val="32"/>
        </w:rPr>
        <w:t>canola</w:t>
      </w:r>
      <w:r w:rsidRPr="008206C0">
        <w:rPr>
          <w:iCs/>
          <w:szCs w:val="32"/>
        </w:rPr>
        <w:t xml:space="preserve"> line </w:t>
      </w:r>
      <w:r>
        <w:rPr>
          <w:iCs/>
          <w:szCs w:val="32"/>
        </w:rPr>
        <w:t>LBFLFK</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6C0A01FA" w14:textId="7A8E34B3" w:rsidR="00092CDA" w:rsidRDefault="00092CDA" w:rsidP="00DB1673">
      <w:pPr>
        <w:pStyle w:val="Heading1"/>
        <w:spacing w:before="0"/>
      </w:pPr>
      <w:bookmarkStart w:id="0" w:name="_Toc286391001"/>
      <w:bookmarkStart w:id="1" w:name="_Toc300933414"/>
      <w:bookmarkStart w:id="2" w:name="_Toc102573416"/>
      <w:r w:rsidRPr="00092CDA">
        <w:t xml:space="preserve">Executive </w:t>
      </w:r>
      <w:r w:rsidR="00B12F1E">
        <w:t>s</w:t>
      </w:r>
      <w:r w:rsidRPr="00092CDA">
        <w:t>ummary</w:t>
      </w:r>
      <w:bookmarkEnd w:id="0"/>
      <w:bookmarkEnd w:id="1"/>
      <w:bookmarkEnd w:id="2"/>
    </w:p>
    <w:p w14:paraId="0FCB6305" w14:textId="0CC4053B" w:rsidR="008E5CBF" w:rsidRDefault="008E5CBF" w:rsidP="008733DF">
      <w:pPr>
        <w:spacing w:after="240"/>
        <w:rPr>
          <w:lang w:bidi="ar-SA"/>
        </w:rPr>
      </w:pPr>
      <w:r>
        <w:rPr>
          <w:lang w:bidi="ar-SA"/>
        </w:rPr>
        <w:t xml:space="preserve">Application A1239 seeks to amend the Australia New Zealand Food Standards Code to </w:t>
      </w:r>
      <w:r w:rsidR="00911E8E">
        <w:rPr>
          <w:lang w:bidi="ar-SA"/>
        </w:rPr>
        <w:t xml:space="preserve">permit the sale and use of </w:t>
      </w:r>
      <w:r>
        <w:rPr>
          <w:lang w:bidi="ar-SA"/>
        </w:rPr>
        <w:t>food derived from canola that has been genetically-modified to contain the omega-3</w:t>
      </w:r>
      <w:r w:rsidR="00D5500B">
        <w:rPr>
          <w:lang w:bidi="ar-SA"/>
        </w:rPr>
        <w:t xml:space="preserve"> (n-3)</w:t>
      </w:r>
      <w:r>
        <w:rPr>
          <w:lang w:bidi="ar-SA"/>
        </w:rPr>
        <w:t xml:space="preserve"> long-chain p</w:t>
      </w:r>
      <w:r w:rsidR="00D5500B">
        <w:rPr>
          <w:lang w:bidi="ar-SA"/>
        </w:rPr>
        <w:t>olyunsaturated fatty acids (</w:t>
      </w:r>
      <w:r>
        <w:rPr>
          <w:lang w:bidi="ar-SA"/>
        </w:rPr>
        <w:t>LC-PUFA) eicosapentaenoic acid (EPA) and docosahexaenoic acid (DHA)</w:t>
      </w:r>
      <w:r w:rsidR="00F72018">
        <w:rPr>
          <w:lang w:bidi="ar-SA"/>
        </w:rPr>
        <w:t xml:space="preserve">, and for tolerance to </w:t>
      </w:r>
      <w:r w:rsidR="00F72018" w:rsidRPr="00362C6E">
        <w:rPr>
          <w:lang w:bidi="ar-SA"/>
        </w:rPr>
        <w:t>imidazolinone herbicides</w:t>
      </w:r>
      <w:r>
        <w:rPr>
          <w:lang w:bidi="ar-SA"/>
        </w:rPr>
        <w:t xml:space="preserve">. In addition to EPA and DHA, </w:t>
      </w:r>
      <w:r w:rsidR="002F36D0">
        <w:rPr>
          <w:lang w:bidi="ar-SA"/>
        </w:rPr>
        <w:t>canola l</w:t>
      </w:r>
      <w:r w:rsidR="004924E2">
        <w:rPr>
          <w:lang w:bidi="ar-SA"/>
        </w:rPr>
        <w:t>i</w:t>
      </w:r>
      <w:r w:rsidR="002F36D0">
        <w:rPr>
          <w:lang w:bidi="ar-SA"/>
        </w:rPr>
        <w:t>ne LBFLFK</w:t>
      </w:r>
      <w:r>
        <w:rPr>
          <w:lang w:bidi="ar-SA"/>
        </w:rPr>
        <w:t xml:space="preserve"> also contains the </w:t>
      </w:r>
      <w:r w:rsidRPr="00E6508B">
        <w:rPr>
          <w:lang w:bidi="ar-SA"/>
        </w:rPr>
        <w:t xml:space="preserve">n-3 LC-PUFA </w:t>
      </w:r>
      <w:r>
        <w:rPr>
          <w:lang w:bidi="ar-SA"/>
        </w:rPr>
        <w:t>docosapentaenoic acid (DPA)</w:t>
      </w:r>
      <w:r w:rsidR="005565DD">
        <w:rPr>
          <w:lang w:bidi="ar-SA"/>
        </w:rPr>
        <w:t>, the metabolic intermediate between EPA and DHA</w:t>
      </w:r>
      <w:r>
        <w:rPr>
          <w:lang w:bidi="ar-SA"/>
        </w:rPr>
        <w:t xml:space="preserve">. As the oil from </w:t>
      </w:r>
      <w:r w:rsidR="002F36D0">
        <w:rPr>
          <w:lang w:bidi="ar-SA"/>
        </w:rPr>
        <w:t>LBFLFK</w:t>
      </w:r>
      <w:r>
        <w:rPr>
          <w:lang w:bidi="ar-SA"/>
        </w:rPr>
        <w:t xml:space="preserve"> </w:t>
      </w:r>
      <w:r w:rsidR="008A3BB3">
        <w:rPr>
          <w:lang w:bidi="ar-SA"/>
        </w:rPr>
        <w:t xml:space="preserve">seed </w:t>
      </w:r>
      <w:r>
        <w:rPr>
          <w:lang w:bidi="ar-SA"/>
        </w:rPr>
        <w:t xml:space="preserve">will be available for human consumption, FSANZ has conducted a risk assessment to identify whether any adverse health effects can be expected from a potential increase in the dietary intake of </w:t>
      </w:r>
      <w:r w:rsidRPr="00AB770F">
        <w:rPr>
          <w:lang w:bidi="ar-SA"/>
        </w:rPr>
        <w:t>EPA, DPA and DHA</w:t>
      </w:r>
      <w:r>
        <w:rPr>
          <w:lang w:bidi="ar-SA"/>
        </w:rPr>
        <w:t>.</w:t>
      </w:r>
      <w:r w:rsidRPr="00193FA6">
        <w:rPr>
          <w:lang w:bidi="ar-SA"/>
        </w:rPr>
        <w:t xml:space="preserve"> </w:t>
      </w:r>
    </w:p>
    <w:p w14:paraId="48C8BAFA" w14:textId="6D6B1951" w:rsidR="00E9437D" w:rsidRDefault="00E9437D" w:rsidP="008733DF">
      <w:pPr>
        <w:spacing w:after="240"/>
        <w:rPr>
          <w:lang w:bidi="ar-SA"/>
        </w:rPr>
      </w:pPr>
      <w:r>
        <w:rPr>
          <w:lang w:bidi="ar-SA"/>
        </w:rPr>
        <w:t xml:space="preserve">Dietary intake of </w:t>
      </w:r>
      <w:r w:rsidRPr="00E9437D">
        <w:rPr>
          <w:lang w:bidi="ar-SA"/>
        </w:rPr>
        <w:t xml:space="preserve">EPA, DPA and DHA </w:t>
      </w:r>
      <w:r>
        <w:rPr>
          <w:lang w:bidi="ar-SA"/>
        </w:rPr>
        <w:t xml:space="preserve">is </w:t>
      </w:r>
      <w:r w:rsidRPr="00E9437D">
        <w:rPr>
          <w:lang w:bidi="ar-SA"/>
        </w:rPr>
        <w:t>mainly from the consum</w:t>
      </w:r>
      <w:r w:rsidR="000740F5">
        <w:rPr>
          <w:lang w:bidi="ar-SA"/>
        </w:rPr>
        <w:t>ption of seafood</w:t>
      </w:r>
      <w:r>
        <w:rPr>
          <w:lang w:bidi="ar-SA"/>
        </w:rPr>
        <w:t>,</w:t>
      </w:r>
      <w:r w:rsidRPr="00E9437D">
        <w:rPr>
          <w:lang w:bidi="ar-SA"/>
        </w:rPr>
        <w:t xml:space="preserve"> with a contribution due to endogenous biosynthesis from dietary </w:t>
      </w:r>
      <w:r>
        <w:rPr>
          <w:lang w:bidi="ar-SA"/>
        </w:rPr>
        <w:t>α-l</w:t>
      </w:r>
      <w:r w:rsidRPr="00E9437D">
        <w:rPr>
          <w:lang w:bidi="ar-SA"/>
        </w:rPr>
        <w:t>inolenic acid</w:t>
      </w:r>
      <w:r w:rsidR="000740F5">
        <w:rPr>
          <w:lang w:bidi="ar-SA"/>
        </w:rPr>
        <w:t xml:space="preserve"> (ALA)</w:t>
      </w:r>
      <w:r>
        <w:rPr>
          <w:lang w:bidi="ar-SA"/>
        </w:rPr>
        <w:t>, an essential fatty acid</w:t>
      </w:r>
      <w:r w:rsidR="000047CF">
        <w:rPr>
          <w:lang w:bidi="ar-SA"/>
        </w:rPr>
        <w:t xml:space="preserve"> (FA)</w:t>
      </w:r>
      <w:r>
        <w:rPr>
          <w:lang w:bidi="ar-SA"/>
        </w:rPr>
        <w:t>.</w:t>
      </w:r>
      <w:r w:rsidRPr="00E9437D">
        <w:rPr>
          <w:lang w:bidi="ar-SA"/>
        </w:rPr>
        <w:t xml:space="preserve"> </w:t>
      </w:r>
      <w:r w:rsidR="00487B54" w:rsidRPr="00487B54">
        <w:rPr>
          <w:lang w:bidi="ar-SA"/>
        </w:rPr>
        <w:t xml:space="preserve">As for fish oils, FAs in canola oil are predominantly in the form of triglycerides, and therefore the bioavailability of EPA, DPA and DHA from triglycerides in LBFLFK oil and fish oil </w:t>
      </w:r>
      <w:r w:rsidR="007342DB">
        <w:rPr>
          <w:lang w:bidi="ar-SA"/>
        </w:rPr>
        <w:t xml:space="preserve">is </w:t>
      </w:r>
      <w:r w:rsidR="00487B54" w:rsidRPr="00487B54">
        <w:rPr>
          <w:lang w:bidi="ar-SA"/>
        </w:rPr>
        <w:t xml:space="preserve">expected to be similar and not raise nutritional concerns. </w:t>
      </w:r>
      <w:r w:rsidRPr="00E9437D">
        <w:rPr>
          <w:lang w:bidi="ar-SA"/>
        </w:rPr>
        <w:t xml:space="preserve">n-3 LC-PUFA have been associated with beneficial effects, particularly on cardiovascular health, however adverse effects have been reported in some studies. </w:t>
      </w:r>
      <w:r w:rsidR="008E5CBF">
        <w:rPr>
          <w:lang w:bidi="ar-SA"/>
        </w:rPr>
        <w:t xml:space="preserve">An </w:t>
      </w:r>
      <w:r w:rsidR="008E5CBF" w:rsidRPr="00297C46">
        <w:rPr>
          <w:lang w:bidi="ar-SA"/>
        </w:rPr>
        <w:t>U</w:t>
      </w:r>
      <w:r w:rsidR="008E5CBF">
        <w:rPr>
          <w:lang w:bidi="ar-SA"/>
        </w:rPr>
        <w:t xml:space="preserve">pper </w:t>
      </w:r>
      <w:r w:rsidR="008E5CBF" w:rsidRPr="00297C46">
        <w:rPr>
          <w:lang w:bidi="ar-SA"/>
        </w:rPr>
        <w:t>L</w:t>
      </w:r>
      <w:r w:rsidR="008E5CBF">
        <w:rPr>
          <w:lang w:bidi="ar-SA"/>
        </w:rPr>
        <w:t>evel of Intake (UL), defined as</w:t>
      </w:r>
      <w:r w:rsidR="008E5CBF" w:rsidRPr="00297C46">
        <w:t xml:space="preserve"> </w:t>
      </w:r>
      <w:r w:rsidR="008E5CBF" w:rsidRPr="00297C46">
        <w:rPr>
          <w:lang w:bidi="ar-SA"/>
        </w:rPr>
        <w:t>the highest average daily nutrient intake level likely to pose no adverse health effects</w:t>
      </w:r>
      <w:r w:rsidR="008E5CBF">
        <w:rPr>
          <w:lang w:bidi="ar-SA"/>
        </w:rPr>
        <w:t>,</w:t>
      </w:r>
      <w:r w:rsidR="008E5CBF" w:rsidRPr="00297C46">
        <w:rPr>
          <w:lang w:bidi="ar-SA"/>
        </w:rPr>
        <w:t xml:space="preserve"> </w:t>
      </w:r>
      <w:r w:rsidR="008E5CBF">
        <w:rPr>
          <w:lang w:bidi="ar-SA"/>
        </w:rPr>
        <w:t>has been established for n-3 LC-PUFA.</w:t>
      </w:r>
      <w:r w:rsidR="008E5CBF" w:rsidRPr="00297C46">
        <w:rPr>
          <w:lang w:bidi="ar-SA"/>
        </w:rPr>
        <w:t xml:space="preserve"> </w:t>
      </w:r>
      <w:r w:rsidR="008E5CBF">
        <w:rPr>
          <w:lang w:bidi="ar-SA"/>
        </w:rPr>
        <w:t xml:space="preserve">The UL, </w:t>
      </w:r>
      <w:r w:rsidR="008E5CBF" w:rsidRPr="00297C46">
        <w:rPr>
          <w:lang w:bidi="ar-SA"/>
        </w:rPr>
        <w:t>defined as th</w:t>
      </w:r>
      <w:r w:rsidR="008E5CBF">
        <w:rPr>
          <w:lang w:bidi="ar-SA"/>
        </w:rPr>
        <w:t>e sum of EPA, DPA and DHA, is 3 </w:t>
      </w:r>
      <w:r w:rsidR="008E5CBF" w:rsidRPr="00297C46">
        <w:rPr>
          <w:lang w:bidi="ar-SA"/>
        </w:rPr>
        <w:t>g/day for children, adolescents and adults</w:t>
      </w:r>
      <w:r w:rsidR="008E5CBF">
        <w:rPr>
          <w:lang w:bidi="ar-SA"/>
        </w:rPr>
        <w:t>.</w:t>
      </w:r>
    </w:p>
    <w:p w14:paraId="195DC9D4" w14:textId="1A5B6E03" w:rsidR="008E5CBF" w:rsidRDefault="008E5CBF" w:rsidP="008733DF">
      <w:pPr>
        <w:spacing w:after="240"/>
        <w:rPr>
          <w:lang w:bidi="ar-SA"/>
        </w:rPr>
      </w:pPr>
      <w:r>
        <w:rPr>
          <w:lang w:bidi="ar-SA"/>
        </w:rPr>
        <w:t xml:space="preserve">A large number of randomised controlled trials of </w:t>
      </w:r>
      <w:r w:rsidRPr="008E5CBF">
        <w:rPr>
          <w:lang w:bidi="ar-SA"/>
        </w:rPr>
        <w:t xml:space="preserve">n-3 LC-PUFA </w:t>
      </w:r>
      <w:r>
        <w:rPr>
          <w:lang w:bidi="ar-SA"/>
        </w:rPr>
        <w:t>have been conducted since the UL of 3 g/day was established. In non-pregnant adults,</w:t>
      </w:r>
      <w:r w:rsidR="00AC3F2A">
        <w:rPr>
          <w:lang w:bidi="ar-SA"/>
        </w:rPr>
        <w:t xml:space="preserve"> </w:t>
      </w:r>
      <w:r w:rsidRPr="008E5CBF">
        <w:rPr>
          <w:lang w:bidi="ar-SA"/>
        </w:rPr>
        <w:t xml:space="preserve">high intakes of n-3 LC-PUFA (up to 5 g/day) over long durations (up to 88 months) </w:t>
      </w:r>
      <w:r>
        <w:rPr>
          <w:lang w:bidi="ar-SA"/>
        </w:rPr>
        <w:t xml:space="preserve">have </w:t>
      </w:r>
      <w:r w:rsidRPr="008E5CBF">
        <w:rPr>
          <w:lang w:bidi="ar-SA"/>
        </w:rPr>
        <w:t xml:space="preserve">not </w:t>
      </w:r>
      <w:r>
        <w:rPr>
          <w:lang w:bidi="ar-SA"/>
        </w:rPr>
        <w:t xml:space="preserve">been </w:t>
      </w:r>
      <w:r w:rsidRPr="008E5CBF">
        <w:rPr>
          <w:lang w:bidi="ar-SA"/>
        </w:rPr>
        <w:t>associated w</w:t>
      </w:r>
      <w:r w:rsidR="00A77B7A">
        <w:rPr>
          <w:lang w:bidi="ar-SA"/>
        </w:rPr>
        <w:t>i</w:t>
      </w:r>
      <w:r w:rsidRPr="008E5CBF">
        <w:rPr>
          <w:lang w:bidi="ar-SA"/>
        </w:rPr>
        <w:t>th clear adv</w:t>
      </w:r>
      <w:r w:rsidR="00AC3F2A">
        <w:rPr>
          <w:lang w:bidi="ar-SA"/>
        </w:rPr>
        <w:t>erse effects. During pregnancy</w:t>
      </w:r>
      <w:r w:rsidRPr="008E5CBF">
        <w:rPr>
          <w:lang w:bidi="ar-SA"/>
        </w:rPr>
        <w:t xml:space="preserve">, n-3 LC-PUFA intake of up to 3 g/day was also not associated with adverse effects. In children and adolescents, an increase in the incidence of flatulence and belching </w:t>
      </w:r>
      <w:r w:rsidR="00B47509">
        <w:rPr>
          <w:lang w:bidi="ar-SA"/>
        </w:rPr>
        <w:t xml:space="preserve">was </w:t>
      </w:r>
      <w:r w:rsidRPr="008E5CBF">
        <w:rPr>
          <w:lang w:bidi="ar-SA"/>
        </w:rPr>
        <w:t>reported in one study at an n-3 LC-PUFA dose of 3 g/day</w:t>
      </w:r>
      <w:r w:rsidR="007B5AE7">
        <w:rPr>
          <w:lang w:bidi="ar-SA"/>
        </w:rPr>
        <w:t xml:space="preserve"> but</w:t>
      </w:r>
      <w:r w:rsidRPr="008E5CBF">
        <w:rPr>
          <w:lang w:bidi="ar-SA"/>
        </w:rPr>
        <w:t xml:space="preserve"> no clearly treatment-related adverse effects are evident in the published literature.</w:t>
      </w:r>
      <w:r>
        <w:rPr>
          <w:lang w:bidi="ar-SA"/>
        </w:rPr>
        <w:t xml:space="preserve"> </w:t>
      </w:r>
      <w:r w:rsidRPr="008E5CBF">
        <w:rPr>
          <w:lang w:bidi="ar-SA"/>
        </w:rPr>
        <w:t>It is</w:t>
      </w:r>
      <w:r>
        <w:rPr>
          <w:lang w:bidi="ar-SA"/>
        </w:rPr>
        <w:t xml:space="preserve"> concluded that the </w:t>
      </w:r>
      <w:r w:rsidRPr="008E5CBF">
        <w:rPr>
          <w:lang w:bidi="ar-SA"/>
        </w:rPr>
        <w:t xml:space="preserve">Upper Level of Intake (UL) of 3 g/day is sufficiently health protective and appropriate for use in risk </w:t>
      </w:r>
      <w:r w:rsidR="00196F6A">
        <w:rPr>
          <w:lang w:bidi="ar-SA"/>
        </w:rPr>
        <w:t>characterisation</w:t>
      </w:r>
      <w:r w:rsidRPr="008E5CBF">
        <w:rPr>
          <w:lang w:bidi="ar-SA"/>
        </w:rPr>
        <w:t>.</w:t>
      </w:r>
    </w:p>
    <w:p w14:paraId="22A5CE5D" w14:textId="7A61FE5F" w:rsidR="006123BE" w:rsidRDefault="008E5CBF" w:rsidP="00690206">
      <w:pPr>
        <w:sectPr w:rsidR="006123BE" w:rsidSect="0054272D">
          <w:footerReference w:type="even" r:id="rId13"/>
          <w:footerReference w:type="default" r:id="rId14"/>
          <w:headerReference w:type="first" r:id="rId15"/>
          <w:pgSz w:w="11906" w:h="16838"/>
          <w:pgMar w:top="1418" w:right="1418" w:bottom="1418" w:left="1418" w:header="709" w:footer="709" w:gutter="0"/>
          <w:pgNumType w:fmt="lowerRoman" w:start="1"/>
          <w:cols w:space="708"/>
          <w:docGrid w:linePitch="360"/>
        </w:sectPr>
      </w:pPr>
      <w:r>
        <w:rPr>
          <w:lang w:bidi="ar-SA"/>
        </w:rPr>
        <w:t>The dietary intake assessment consider</w:t>
      </w:r>
      <w:r w:rsidR="00A77B7A">
        <w:rPr>
          <w:lang w:bidi="ar-SA"/>
        </w:rPr>
        <w:t>ed</w:t>
      </w:r>
      <w:r>
        <w:rPr>
          <w:lang w:bidi="ar-SA"/>
        </w:rPr>
        <w:t xml:space="preserve"> the usual intake of n-3 LC-PUFA (sum of EPA, DPA and DHA) from the current food supply (baseline intake) and two scenarios to account for potential additional intake of EPA, DPA and DHA due to the introduction to the food supply of oil from </w:t>
      </w:r>
      <w:r w:rsidR="002F36D0">
        <w:rPr>
          <w:lang w:bidi="ar-SA"/>
        </w:rPr>
        <w:t>LBFLFK</w:t>
      </w:r>
      <w:r>
        <w:rPr>
          <w:lang w:bidi="ar-SA"/>
        </w:rPr>
        <w:t>.</w:t>
      </w:r>
      <w:r w:rsidR="00B3497C">
        <w:rPr>
          <w:lang w:bidi="ar-SA"/>
        </w:rPr>
        <w:t xml:space="preserve"> The dietary intake estimates for all population groups</w:t>
      </w:r>
      <w:r w:rsidR="00A77B7A">
        <w:rPr>
          <w:lang w:bidi="ar-SA"/>
        </w:rPr>
        <w:t xml:space="preserve"> assessed</w:t>
      </w:r>
      <w:r w:rsidR="00B3497C">
        <w:rPr>
          <w:lang w:bidi="ar-SA"/>
        </w:rPr>
        <w:t xml:space="preserve"> in both Australia and New Zealand were below the UL of 3 g/day</w:t>
      </w:r>
      <w:r w:rsidR="00A77B7A">
        <w:rPr>
          <w:lang w:bidi="ar-SA"/>
        </w:rPr>
        <w:t xml:space="preserve"> for both scenarios</w:t>
      </w:r>
      <w:r w:rsidR="00B3497C">
        <w:rPr>
          <w:lang w:bidi="ar-SA"/>
        </w:rPr>
        <w:t xml:space="preserve">. It is therefore concluded that consumption of </w:t>
      </w:r>
      <w:r w:rsidR="00C65825">
        <w:rPr>
          <w:lang w:bidi="ar-SA"/>
        </w:rPr>
        <w:t xml:space="preserve">oil from canola line </w:t>
      </w:r>
      <w:r w:rsidR="002F36D0">
        <w:rPr>
          <w:lang w:bidi="ar-SA"/>
        </w:rPr>
        <w:t>LBFLFK</w:t>
      </w:r>
      <w:r w:rsidR="00B3497C">
        <w:rPr>
          <w:lang w:bidi="ar-SA"/>
        </w:rPr>
        <w:t xml:space="preserve"> will not pose a nutritional </w:t>
      </w:r>
      <w:r w:rsidR="00201AAB">
        <w:rPr>
          <w:lang w:bidi="ar-SA"/>
        </w:rPr>
        <w:t>risk</w:t>
      </w:r>
      <w:r w:rsidR="00B3497C">
        <w:rPr>
          <w:lang w:bidi="ar-SA"/>
        </w:rPr>
        <w:t xml:space="preserve"> to the Australian and New Zealand populations.</w:t>
      </w: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0B199D7" w14:textId="3D2C50CE" w:rsidR="00890497"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02573416" w:history="1">
        <w:r w:rsidR="00890497" w:rsidRPr="00B668E8">
          <w:rPr>
            <w:rStyle w:val="Hyperlink"/>
            <w:noProof/>
          </w:rPr>
          <w:t>Executive summary</w:t>
        </w:r>
        <w:r w:rsidR="00890497">
          <w:rPr>
            <w:noProof/>
            <w:webHidden/>
          </w:rPr>
          <w:tab/>
        </w:r>
        <w:r w:rsidR="00890497">
          <w:rPr>
            <w:noProof/>
            <w:webHidden/>
          </w:rPr>
          <w:fldChar w:fldCharType="begin"/>
        </w:r>
        <w:r w:rsidR="00890497">
          <w:rPr>
            <w:noProof/>
            <w:webHidden/>
          </w:rPr>
          <w:instrText xml:space="preserve"> PAGEREF _Toc102573416 \h </w:instrText>
        </w:r>
        <w:r w:rsidR="00890497">
          <w:rPr>
            <w:noProof/>
            <w:webHidden/>
          </w:rPr>
        </w:r>
        <w:r w:rsidR="00890497">
          <w:rPr>
            <w:noProof/>
            <w:webHidden/>
          </w:rPr>
          <w:fldChar w:fldCharType="separate"/>
        </w:r>
        <w:r w:rsidR="00AB0671">
          <w:rPr>
            <w:noProof/>
            <w:webHidden/>
          </w:rPr>
          <w:t>i</w:t>
        </w:r>
        <w:r w:rsidR="00890497">
          <w:rPr>
            <w:noProof/>
            <w:webHidden/>
          </w:rPr>
          <w:fldChar w:fldCharType="end"/>
        </w:r>
      </w:hyperlink>
    </w:p>
    <w:p w14:paraId="1867C239" w14:textId="66F3FDDA" w:rsidR="00890497" w:rsidRDefault="008F77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2573417" w:history="1">
        <w:r w:rsidR="00890497" w:rsidRPr="00B668E8">
          <w:rPr>
            <w:rStyle w:val="Hyperlink"/>
            <w:noProof/>
          </w:rPr>
          <w:t>1</w:t>
        </w:r>
        <w:r w:rsidR="00890497">
          <w:rPr>
            <w:rFonts w:eastAsiaTheme="minorEastAsia" w:cstheme="minorBidi"/>
            <w:b w:val="0"/>
            <w:bCs w:val="0"/>
            <w:caps w:val="0"/>
            <w:noProof/>
            <w:sz w:val="22"/>
            <w:szCs w:val="22"/>
            <w:lang w:eastAsia="en-GB" w:bidi="ar-SA"/>
          </w:rPr>
          <w:tab/>
        </w:r>
        <w:r w:rsidR="00890497" w:rsidRPr="00B668E8">
          <w:rPr>
            <w:rStyle w:val="Hyperlink"/>
            <w:noProof/>
          </w:rPr>
          <w:t>Introduction</w:t>
        </w:r>
        <w:r w:rsidR="00890497">
          <w:rPr>
            <w:noProof/>
            <w:webHidden/>
          </w:rPr>
          <w:tab/>
        </w:r>
        <w:r w:rsidR="00890497">
          <w:rPr>
            <w:noProof/>
            <w:webHidden/>
          </w:rPr>
          <w:fldChar w:fldCharType="begin"/>
        </w:r>
        <w:r w:rsidR="00890497">
          <w:rPr>
            <w:noProof/>
            <w:webHidden/>
          </w:rPr>
          <w:instrText xml:space="preserve"> PAGEREF _Toc102573417 \h </w:instrText>
        </w:r>
        <w:r w:rsidR="00890497">
          <w:rPr>
            <w:noProof/>
            <w:webHidden/>
          </w:rPr>
        </w:r>
        <w:r w:rsidR="00890497">
          <w:rPr>
            <w:noProof/>
            <w:webHidden/>
          </w:rPr>
          <w:fldChar w:fldCharType="separate"/>
        </w:r>
        <w:r w:rsidR="00AB0671">
          <w:rPr>
            <w:noProof/>
            <w:webHidden/>
          </w:rPr>
          <w:t>3</w:t>
        </w:r>
        <w:r w:rsidR="00890497">
          <w:rPr>
            <w:noProof/>
            <w:webHidden/>
          </w:rPr>
          <w:fldChar w:fldCharType="end"/>
        </w:r>
      </w:hyperlink>
    </w:p>
    <w:p w14:paraId="5F92B482" w14:textId="7B3C4C90" w:rsidR="00890497" w:rsidRDefault="008F77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2573418" w:history="1">
        <w:r w:rsidR="00890497" w:rsidRPr="00B668E8">
          <w:rPr>
            <w:rStyle w:val="Hyperlink"/>
            <w:noProof/>
          </w:rPr>
          <w:t xml:space="preserve">2 </w:t>
        </w:r>
        <w:r w:rsidR="00890497">
          <w:rPr>
            <w:rFonts w:eastAsiaTheme="minorEastAsia" w:cstheme="minorBidi"/>
            <w:b w:val="0"/>
            <w:bCs w:val="0"/>
            <w:caps w:val="0"/>
            <w:noProof/>
            <w:sz w:val="22"/>
            <w:szCs w:val="22"/>
            <w:lang w:eastAsia="en-GB" w:bidi="ar-SA"/>
          </w:rPr>
          <w:tab/>
        </w:r>
        <w:r w:rsidR="00890497" w:rsidRPr="00B668E8">
          <w:rPr>
            <w:rStyle w:val="Hyperlink"/>
            <w:noProof/>
          </w:rPr>
          <w:t>Nutrition hazard assessment</w:t>
        </w:r>
        <w:r w:rsidR="00890497">
          <w:rPr>
            <w:noProof/>
            <w:webHidden/>
          </w:rPr>
          <w:tab/>
        </w:r>
        <w:r w:rsidR="00890497">
          <w:rPr>
            <w:noProof/>
            <w:webHidden/>
          </w:rPr>
          <w:fldChar w:fldCharType="begin"/>
        </w:r>
        <w:r w:rsidR="00890497">
          <w:rPr>
            <w:noProof/>
            <w:webHidden/>
          </w:rPr>
          <w:instrText xml:space="preserve"> PAGEREF _Toc102573418 \h </w:instrText>
        </w:r>
        <w:r w:rsidR="00890497">
          <w:rPr>
            <w:noProof/>
            <w:webHidden/>
          </w:rPr>
        </w:r>
        <w:r w:rsidR="00890497">
          <w:rPr>
            <w:noProof/>
            <w:webHidden/>
          </w:rPr>
          <w:fldChar w:fldCharType="separate"/>
        </w:r>
        <w:r w:rsidR="00AB0671">
          <w:rPr>
            <w:noProof/>
            <w:webHidden/>
          </w:rPr>
          <w:t>3</w:t>
        </w:r>
        <w:r w:rsidR="00890497">
          <w:rPr>
            <w:noProof/>
            <w:webHidden/>
          </w:rPr>
          <w:fldChar w:fldCharType="end"/>
        </w:r>
      </w:hyperlink>
    </w:p>
    <w:p w14:paraId="1A23DB16" w14:textId="10224C0D"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19" w:history="1">
        <w:r w:rsidR="00890497" w:rsidRPr="00B668E8">
          <w:rPr>
            <w:rStyle w:val="Hyperlink"/>
            <w:noProof/>
          </w:rPr>
          <w:t>2.1</w:t>
        </w:r>
        <w:r w:rsidR="00890497">
          <w:rPr>
            <w:rFonts w:eastAsiaTheme="minorEastAsia" w:cstheme="minorBidi"/>
            <w:smallCaps w:val="0"/>
            <w:noProof/>
            <w:sz w:val="22"/>
            <w:szCs w:val="22"/>
            <w:lang w:eastAsia="en-GB" w:bidi="ar-SA"/>
          </w:rPr>
          <w:tab/>
        </w:r>
        <w:r w:rsidR="00890497" w:rsidRPr="00B668E8">
          <w:rPr>
            <w:rStyle w:val="Hyperlink"/>
            <w:noProof/>
          </w:rPr>
          <w:t>Fatty acid composition of LBFLFK oil</w:t>
        </w:r>
        <w:r w:rsidR="00890497">
          <w:rPr>
            <w:noProof/>
            <w:webHidden/>
          </w:rPr>
          <w:tab/>
        </w:r>
        <w:r w:rsidR="00890497">
          <w:rPr>
            <w:noProof/>
            <w:webHidden/>
          </w:rPr>
          <w:fldChar w:fldCharType="begin"/>
        </w:r>
        <w:r w:rsidR="00890497">
          <w:rPr>
            <w:noProof/>
            <w:webHidden/>
          </w:rPr>
          <w:instrText xml:space="preserve"> PAGEREF _Toc102573419 \h </w:instrText>
        </w:r>
        <w:r w:rsidR="00890497">
          <w:rPr>
            <w:noProof/>
            <w:webHidden/>
          </w:rPr>
        </w:r>
        <w:r w:rsidR="00890497">
          <w:rPr>
            <w:noProof/>
            <w:webHidden/>
          </w:rPr>
          <w:fldChar w:fldCharType="separate"/>
        </w:r>
        <w:r w:rsidR="00AB0671">
          <w:rPr>
            <w:noProof/>
            <w:webHidden/>
          </w:rPr>
          <w:t>4</w:t>
        </w:r>
        <w:r w:rsidR="00890497">
          <w:rPr>
            <w:noProof/>
            <w:webHidden/>
          </w:rPr>
          <w:fldChar w:fldCharType="end"/>
        </w:r>
      </w:hyperlink>
    </w:p>
    <w:p w14:paraId="6C989822" w14:textId="4C091C3A"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20" w:history="1">
        <w:r w:rsidR="00890497" w:rsidRPr="00B668E8">
          <w:rPr>
            <w:rStyle w:val="Hyperlink"/>
            <w:noProof/>
          </w:rPr>
          <w:t>2.2</w:t>
        </w:r>
        <w:r w:rsidR="00890497">
          <w:rPr>
            <w:rFonts w:eastAsiaTheme="minorEastAsia" w:cstheme="minorBidi"/>
            <w:smallCaps w:val="0"/>
            <w:noProof/>
            <w:sz w:val="22"/>
            <w:szCs w:val="22"/>
            <w:lang w:eastAsia="en-GB" w:bidi="ar-SA"/>
          </w:rPr>
          <w:tab/>
        </w:r>
        <w:r w:rsidR="00890497" w:rsidRPr="00B668E8">
          <w:rPr>
            <w:rStyle w:val="Hyperlink"/>
            <w:noProof/>
          </w:rPr>
          <w:t>Biochemistry, bioavailability and physiology of n-3 fatty acids</w:t>
        </w:r>
        <w:r w:rsidR="00890497">
          <w:rPr>
            <w:noProof/>
            <w:webHidden/>
          </w:rPr>
          <w:tab/>
        </w:r>
        <w:r w:rsidR="00890497">
          <w:rPr>
            <w:noProof/>
            <w:webHidden/>
          </w:rPr>
          <w:fldChar w:fldCharType="begin"/>
        </w:r>
        <w:r w:rsidR="00890497">
          <w:rPr>
            <w:noProof/>
            <w:webHidden/>
          </w:rPr>
          <w:instrText xml:space="preserve"> PAGEREF _Toc102573420 \h </w:instrText>
        </w:r>
        <w:r w:rsidR="00890497">
          <w:rPr>
            <w:noProof/>
            <w:webHidden/>
          </w:rPr>
        </w:r>
        <w:r w:rsidR="00890497">
          <w:rPr>
            <w:noProof/>
            <w:webHidden/>
          </w:rPr>
          <w:fldChar w:fldCharType="separate"/>
        </w:r>
        <w:r w:rsidR="00AB0671">
          <w:rPr>
            <w:noProof/>
            <w:webHidden/>
          </w:rPr>
          <w:t>4</w:t>
        </w:r>
        <w:r w:rsidR="00890497">
          <w:rPr>
            <w:noProof/>
            <w:webHidden/>
          </w:rPr>
          <w:fldChar w:fldCharType="end"/>
        </w:r>
      </w:hyperlink>
    </w:p>
    <w:p w14:paraId="35113295" w14:textId="75323BBC"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21" w:history="1">
        <w:r w:rsidR="00890497" w:rsidRPr="00B668E8">
          <w:rPr>
            <w:rStyle w:val="Hyperlink"/>
            <w:noProof/>
          </w:rPr>
          <w:t>2.3</w:t>
        </w:r>
        <w:r w:rsidR="00890497">
          <w:rPr>
            <w:rFonts w:eastAsiaTheme="minorEastAsia" w:cstheme="minorBidi"/>
            <w:smallCaps w:val="0"/>
            <w:noProof/>
            <w:sz w:val="22"/>
            <w:szCs w:val="22"/>
            <w:lang w:eastAsia="en-GB" w:bidi="ar-SA"/>
          </w:rPr>
          <w:tab/>
        </w:r>
        <w:r w:rsidR="00890497" w:rsidRPr="00B668E8">
          <w:rPr>
            <w:rStyle w:val="Hyperlink"/>
            <w:noProof/>
          </w:rPr>
          <w:t>Upper Level of Intake</w:t>
        </w:r>
        <w:r w:rsidR="00890497">
          <w:rPr>
            <w:noProof/>
            <w:webHidden/>
          </w:rPr>
          <w:tab/>
        </w:r>
        <w:r w:rsidR="00890497">
          <w:rPr>
            <w:noProof/>
            <w:webHidden/>
          </w:rPr>
          <w:fldChar w:fldCharType="begin"/>
        </w:r>
        <w:r w:rsidR="00890497">
          <w:rPr>
            <w:noProof/>
            <w:webHidden/>
          </w:rPr>
          <w:instrText xml:space="preserve"> PAGEREF _Toc102573421 \h </w:instrText>
        </w:r>
        <w:r w:rsidR="00890497">
          <w:rPr>
            <w:noProof/>
            <w:webHidden/>
          </w:rPr>
        </w:r>
        <w:r w:rsidR="00890497">
          <w:rPr>
            <w:noProof/>
            <w:webHidden/>
          </w:rPr>
          <w:fldChar w:fldCharType="separate"/>
        </w:r>
        <w:r w:rsidR="00AB0671">
          <w:rPr>
            <w:noProof/>
            <w:webHidden/>
          </w:rPr>
          <w:t>5</w:t>
        </w:r>
        <w:r w:rsidR="00890497">
          <w:rPr>
            <w:noProof/>
            <w:webHidden/>
          </w:rPr>
          <w:fldChar w:fldCharType="end"/>
        </w:r>
      </w:hyperlink>
    </w:p>
    <w:p w14:paraId="6FCE5D0F" w14:textId="35966412"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22" w:history="1">
        <w:r w:rsidR="00890497" w:rsidRPr="00B668E8">
          <w:rPr>
            <w:rStyle w:val="Hyperlink"/>
            <w:noProof/>
          </w:rPr>
          <w:t>2.4</w:t>
        </w:r>
        <w:r w:rsidR="00890497">
          <w:rPr>
            <w:rFonts w:eastAsiaTheme="minorEastAsia" w:cstheme="minorBidi"/>
            <w:smallCaps w:val="0"/>
            <w:noProof/>
            <w:sz w:val="22"/>
            <w:szCs w:val="22"/>
            <w:lang w:eastAsia="en-GB" w:bidi="ar-SA"/>
          </w:rPr>
          <w:tab/>
        </w:r>
        <w:r w:rsidR="00890497" w:rsidRPr="00B668E8">
          <w:rPr>
            <w:rStyle w:val="Hyperlink"/>
            <w:noProof/>
          </w:rPr>
          <w:t>Randomised controlled trials in non-pregnant adults</w:t>
        </w:r>
        <w:r w:rsidR="00890497">
          <w:rPr>
            <w:noProof/>
            <w:webHidden/>
          </w:rPr>
          <w:tab/>
        </w:r>
        <w:r w:rsidR="00890497">
          <w:rPr>
            <w:noProof/>
            <w:webHidden/>
          </w:rPr>
          <w:fldChar w:fldCharType="begin"/>
        </w:r>
        <w:r w:rsidR="00890497">
          <w:rPr>
            <w:noProof/>
            <w:webHidden/>
          </w:rPr>
          <w:instrText xml:space="preserve"> PAGEREF _Toc102573422 \h </w:instrText>
        </w:r>
        <w:r w:rsidR="00890497">
          <w:rPr>
            <w:noProof/>
            <w:webHidden/>
          </w:rPr>
        </w:r>
        <w:r w:rsidR="00890497">
          <w:rPr>
            <w:noProof/>
            <w:webHidden/>
          </w:rPr>
          <w:fldChar w:fldCharType="separate"/>
        </w:r>
        <w:r w:rsidR="00AB0671">
          <w:rPr>
            <w:noProof/>
            <w:webHidden/>
          </w:rPr>
          <w:t>5</w:t>
        </w:r>
        <w:r w:rsidR="00890497">
          <w:rPr>
            <w:noProof/>
            <w:webHidden/>
          </w:rPr>
          <w:fldChar w:fldCharType="end"/>
        </w:r>
      </w:hyperlink>
    </w:p>
    <w:p w14:paraId="5AD50DF8" w14:textId="757A5A85"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23" w:history="1">
        <w:r w:rsidR="00890497" w:rsidRPr="00B668E8">
          <w:rPr>
            <w:rStyle w:val="Hyperlink"/>
            <w:noProof/>
          </w:rPr>
          <w:t>2.5</w:t>
        </w:r>
        <w:r w:rsidR="00890497">
          <w:rPr>
            <w:rFonts w:eastAsiaTheme="minorEastAsia" w:cstheme="minorBidi"/>
            <w:smallCaps w:val="0"/>
            <w:noProof/>
            <w:sz w:val="22"/>
            <w:szCs w:val="22"/>
            <w:lang w:eastAsia="en-GB" w:bidi="ar-SA"/>
          </w:rPr>
          <w:tab/>
        </w:r>
        <w:r w:rsidR="00890497" w:rsidRPr="00B668E8">
          <w:rPr>
            <w:rStyle w:val="Hyperlink"/>
            <w:noProof/>
          </w:rPr>
          <w:t>Randomised controlled trials in pregnancy</w:t>
        </w:r>
        <w:r w:rsidR="00890497">
          <w:rPr>
            <w:noProof/>
            <w:webHidden/>
          </w:rPr>
          <w:tab/>
        </w:r>
        <w:r w:rsidR="00890497">
          <w:rPr>
            <w:noProof/>
            <w:webHidden/>
          </w:rPr>
          <w:fldChar w:fldCharType="begin"/>
        </w:r>
        <w:r w:rsidR="00890497">
          <w:rPr>
            <w:noProof/>
            <w:webHidden/>
          </w:rPr>
          <w:instrText xml:space="preserve"> PAGEREF _Toc102573423 \h </w:instrText>
        </w:r>
        <w:r w:rsidR="00890497">
          <w:rPr>
            <w:noProof/>
            <w:webHidden/>
          </w:rPr>
        </w:r>
        <w:r w:rsidR="00890497">
          <w:rPr>
            <w:noProof/>
            <w:webHidden/>
          </w:rPr>
          <w:fldChar w:fldCharType="separate"/>
        </w:r>
        <w:r w:rsidR="00AB0671">
          <w:rPr>
            <w:noProof/>
            <w:webHidden/>
          </w:rPr>
          <w:t>7</w:t>
        </w:r>
        <w:r w:rsidR="00890497">
          <w:rPr>
            <w:noProof/>
            <w:webHidden/>
          </w:rPr>
          <w:fldChar w:fldCharType="end"/>
        </w:r>
      </w:hyperlink>
    </w:p>
    <w:p w14:paraId="3A85D74F" w14:textId="0F02561B"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24" w:history="1">
        <w:r w:rsidR="00890497" w:rsidRPr="00B668E8">
          <w:rPr>
            <w:rStyle w:val="Hyperlink"/>
            <w:noProof/>
          </w:rPr>
          <w:t>2.6</w:t>
        </w:r>
        <w:r w:rsidR="00890497">
          <w:rPr>
            <w:rFonts w:eastAsiaTheme="minorEastAsia" w:cstheme="minorBidi"/>
            <w:smallCaps w:val="0"/>
            <w:noProof/>
            <w:sz w:val="22"/>
            <w:szCs w:val="22"/>
            <w:lang w:eastAsia="en-GB" w:bidi="ar-SA"/>
          </w:rPr>
          <w:tab/>
        </w:r>
        <w:r w:rsidR="00890497" w:rsidRPr="00B668E8">
          <w:rPr>
            <w:rStyle w:val="Hyperlink"/>
            <w:noProof/>
          </w:rPr>
          <w:t>Randomised controlled trials in children and adolescents</w:t>
        </w:r>
        <w:r w:rsidR="00890497">
          <w:rPr>
            <w:noProof/>
            <w:webHidden/>
          </w:rPr>
          <w:tab/>
        </w:r>
        <w:r w:rsidR="00890497">
          <w:rPr>
            <w:noProof/>
            <w:webHidden/>
          </w:rPr>
          <w:fldChar w:fldCharType="begin"/>
        </w:r>
        <w:r w:rsidR="00890497">
          <w:rPr>
            <w:noProof/>
            <w:webHidden/>
          </w:rPr>
          <w:instrText xml:space="preserve"> PAGEREF _Toc102573424 \h </w:instrText>
        </w:r>
        <w:r w:rsidR="00890497">
          <w:rPr>
            <w:noProof/>
            <w:webHidden/>
          </w:rPr>
        </w:r>
        <w:r w:rsidR="00890497">
          <w:rPr>
            <w:noProof/>
            <w:webHidden/>
          </w:rPr>
          <w:fldChar w:fldCharType="separate"/>
        </w:r>
        <w:r w:rsidR="00AB0671">
          <w:rPr>
            <w:noProof/>
            <w:webHidden/>
          </w:rPr>
          <w:t>8</w:t>
        </w:r>
        <w:r w:rsidR="00890497">
          <w:rPr>
            <w:noProof/>
            <w:webHidden/>
          </w:rPr>
          <w:fldChar w:fldCharType="end"/>
        </w:r>
      </w:hyperlink>
    </w:p>
    <w:p w14:paraId="3BA1C0F9" w14:textId="1AEB9366"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25" w:history="1">
        <w:r w:rsidR="00890497" w:rsidRPr="00B668E8">
          <w:rPr>
            <w:rStyle w:val="Hyperlink"/>
            <w:noProof/>
          </w:rPr>
          <w:t>2.7</w:t>
        </w:r>
        <w:r w:rsidR="00890497">
          <w:rPr>
            <w:rFonts w:eastAsiaTheme="minorEastAsia" w:cstheme="minorBidi"/>
            <w:smallCaps w:val="0"/>
            <w:noProof/>
            <w:sz w:val="22"/>
            <w:szCs w:val="22"/>
            <w:lang w:eastAsia="en-GB" w:bidi="ar-SA"/>
          </w:rPr>
          <w:tab/>
        </w:r>
        <w:r w:rsidR="00890497" w:rsidRPr="00B668E8">
          <w:rPr>
            <w:rStyle w:val="Hyperlink"/>
            <w:noProof/>
          </w:rPr>
          <w:t>Hazard assessment discussion and conclusion</w:t>
        </w:r>
        <w:r w:rsidR="00890497">
          <w:rPr>
            <w:noProof/>
            <w:webHidden/>
          </w:rPr>
          <w:tab/>
        </w:r>
        <w:r w:rsidR="00890497">
          <w:rPr>
            <w:noProof/>
            <w:webHidden/>
          </w:rPr>
          <w:fldChar w:fldCharType="begin"/>
        </w:r>
        <w:r w:rsidR="00890497">
          <w:rPr>
            <w:noProof/>
            <w:webHidden/>
          </w:rPr>
          <w:instrText xml:space="preserve"> PAGEREF _Toc102573425 \h </w:instrText>
        </w:r>
        <w:r w:rsidR="00890497">
          <w:rPr>
            <w:noProof/>
            <w:webHidden/>
          </w:rPr>
        </w:r>
        <w:r w:rsidR="00890497">
          <w:rPr>
            <w:noProof/>
            <w:webHidden/>
          </w:rPr>
          <w:fldChar w:fldCharType="separate"/>
        </w:r>
        <w:r w:rsidR="00AB0671">
          <w:rPr>
            <w:noProof/>
            <w:webHidden/>
          </w:rPr>
          <w:t>8</w:t>
        </w:r>
        <w:r w:rsidR="00890497">
          <w:rPr>
            <w:noProof/>
            <w:webHidden/>
          </w:rPr>
          <w:fldChar w:fldCharType="end"/>
        </w:r>
      </w:hyperlink>
    </w:p>
    <w:p w14:paraId="4774F10A" w14:textId="5878DB55" w:rsidR="00890497" w:rsidRDefault="008F77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2573426" w:history="1">
        <w:r w:rsidR="00890497" w:rsidRPr="00B668E8">
          <w:rPr>
            <w:rStyle w:val="Hyperlink"/>
            <w:noProof/>
          </w:rPr>
          <w:t xml:space="preserve">3 </w:t>
        </w:r>
        <w:r w:rsidR="00890497">
          <w:rPr>
            <w:rFonts w:eastAsiaTheme="minorEastAsia" w:cstheme="minorBidi"/>
            <w:b w:val="0"/>
            <w:bCs w:val="0"/>
            <w:caps w:val="0"/>
            <w:noProof/>
            <w:sz w:val="22"/>
            <w:szCs w:val="22"/>
            <w:lang w:eastAsia="en-GB" w:bidi="ar-SA"/>
          </w:rPr>
          <w:tab/>
        </w:r>
        <w:r w:rsidR="00890497" w:rsidRPr="00B668E8">
          <w:rPr>
            <w:rStyle w:val="Hyperlink"/>
            <w:noProof/>
          </w:rPr>
          <w:t>Dietary intake assessment</w:t>
        </w:r>
        <w:r w:rsidR="00890497">
          <w:rPr>
            <w:noProof/>
            <w:webHidden/>
          </w:rPr>
          <w:tab/>
        </w:r>
        <w:r w:rsidR="00890497">
          <w:rPr>
            <w:noProof/>
            <w:webHidden/>
          </w:rPr>
          <w:fldChar w:fldCharType="begin"/>
        </w:r>
        <w:r w:rsidR="00890497">
          <w:rPr>
            <w:noProof/>
            <w:webHidden/>
          </w:rPr>
          <w:instrText xml:space="preserve"> PAGEREF _Toc102573426 \h </w:instrText>
        </w:r>
        <w:r w:rsidR="00890497">
          <w:rPr>
            <w:noProof/>
            <w:webHidden/>
          </w:rPr>
        </w:r>
        <w:r w:rsidR="00890497">
          <w:rPr>
            <w:noProof/>
            <w:webHidden/>
          </w:rPr>
          <w:fldChar w:fldCharType="separate"/>
        </w:r>
        <w:r w:rsidR="00AB0671">
          <w:rPr>
            <w:noProof/>
            <w:webHidden/>
          </w:rPr>
          <w:t>9</w:t>
        </w:r>
        <w:r w:rsidR="00890497">
          <w:rPr>
            <w:noProof/>
            <w:webHidden/>
          </w:rPr>
          <w:fldChar w:fldCharType="end"/>
        </w:r>
      </w:hyperlink>
    </w:p>
    <w:p w14:paraId="6C4FEBA4" w14:textId="598F245F"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27" w:history="1">
        <w:r w:rsidR="00890497" w:rsidRPr="00B668E8">
          <w:rPr>
            <w:rStyle w:val="Hyperlink"/>
            <w:noProof/>
          </w:rPr>
          <w:t>3.1</w:t>
        </w:r>
        <w:r w:rsidR="00890497">
          <w:rPr>
            <w:rFonts w:eastAsiaTheme="minorEastAsia" w:cstheme="minorBidi"/>
            <w:smallCaps w:val="0"/>
            <w:noProof/>
            <w:sz w:val="22"/>
            <w:szCs w:val="22"/>
            <w:lang w:eastAsia="en-GB" w:bidi="ar-SA"/>
          </w:rPr>
          <w:tab/>
        </w:r>
        <w:r w:rsidR="00890497" w:rsidRPr="00B668E8">
          <w:rPr>
            <w:rStyle w:val="Hyperlink"/>
            <w:noProof/>
          </w:rPr>
          <w:t>Approach</w:t>
        </w:r>
        <w:r w:rsidR="00890497">
          <w:rPr>
            <w:noProof/>
            <w:webHidden/>
          </w:rPr>
          <w:tab/>
        </w:r>
        <w:r w:rsidR="00890497">
          <w:rPr>
            <w:noProof/>
            <w:webHidden/>
          </w:rPr>
          <w:fldChar w:fldCharType="begin"/>
        </w:r>
        <w:r w:rsidR="00890497">
          <w:rPr>
            <w:noProof/>
            <w:webHidden/>
          </w:rPr>
          <w:instrText xml:space="preserve"> PAGEREF _Toc102573427 \h </w:instrText>
        </w:r>
        <w:r w:rsidR="00890497">
          <w:rPr>
            <w:noProof/>
            <w:webHidden/>
          </w:rPr>
        </w:r>
        <w:r w:rsidR="00890497">
          <w:rPr>
            <w:noProof/>
            <w:webHidden/>
          </w:rPr>
          <w:fldChar w:fldCharType="separate"/>
        </w:r>
        <w:r w:rsidR="00AB0671">
          <w:rPr>
            <w:noProof/>
            <w:webHidden/>
          </w:rPr>
          <w:t>9</w:t>
        </w:r>
        <w:r w:rsidR="00890497">
          <w:rPr>
            <w:noProof/>
            <w:webHidden/>
          </w:rPr>
          <w:fldChar w:fldCharType="end"/>
        </w:r>
      </w:hyperlink>
    </w:p>
    <w:p w14:paraId="510FD8B4" w14:textId="5523C53F"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28" w:history="1">
        <w:r w:rsidR="00890497" w:rsidRPr="00B668E8">
          <w:rPr>
            <w:rStyle w:val="Hyperlink"/>
            <w:noProof/>
          </w:rPr>
          <w:t>3.2</w:t>
        </w:r>
        <w:r w:rsidR="00890497">
          <w:rPr>
            <w:rFonts w:eastAsiaTheme="minorEastAsia" w:cstheme="minorBidi"/>
            <w:smallCaps w:val="0"/>
            <w:noProof/>
            <w:sz w:val="22"/>
            <w:szCs w:val="22"/>
            <w:lang w:eastAsia="en-GB" w:bidi="ar-SA"/>
          </w:rPr>
          <w:tab/>
        </w:r>
        <w:r w:rsidR="00890497" w:rsidRPr="00B668E8">
          <w:rPr>
            <w:rStyle w:val="Hyperlink"/>
            <w:noProof/>
          </w:rPr>
          <w:t xml:space="preserve"> Dietary intake assessment methodology</w:t>
        </w:r>
        <w:r w:rsidR="00890497">
          <w:rPr>
            <w:noProof/>
            <w:webHidden/>
          </w:rPr>
          <w:tab/>
        </w:r>
        <w:r w:rsidR="00890497">
          <w:rPr>
            <w:noProof/>
            <w:webHidden/>
          </w:rPr>
          <w:fldChar w:fldCharType="begin"/>
        </w:r>
        <w:r w:rsidR="00890497">
          <w:rPr>
            <w:noProof/>
            <w:webHidden/>
          </w:rPr>
          <w:instrText xml:space="preserve"> PAGEREF _Toc102573428 \h </w:instrText>
        </w:r>
        <w:r w:rsidR="00890497">
          <w:rPr>
            <w:noProof/>
            <w:webHidden/>
          </w:rPr>
        </w:r>
        <w:r w:rsidR="00890497">
          <w:rPr>
            <w:noProof/>
            <w:webHidden/>
          </w:rPr>
          <w:fldChar w:fldCharType="separate"/>
        </w:r>
        <w:r w:rsidR="00AB0671">
          <w:rPr>
            <w:noProof/>
            <w:webHidden/>
          </w:rPr>
          <w:t>9</w:t>
        </w:r>
        <w:r w:rsidR="00890497">
          <w:rPr>
            <w:noProof/>
            <w:webHidden/>
          </w:rPr>
          <w:fldChar w:fldCharType="end"/>
        </w:r>
      </w:hyperlink>
    </w:p>
    <w:p w14:paraId="67F96168" w14:textId="7C5450CB"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29" w:history="1">
        <w:r w:rsidR="00890497" w:rsidRPr="00B668E8">
          <w:rPr>
            <w:rStyle w:val="Hyperlink"/>
            <w:noProof/>
          </w:rPr>
          <w:t>3.2.1</w:t>
        </w:r>
        <w:r w:rsidR="00890497">
          <w:rPr>
            <w:rFonts w:eastAsiaTheme="minorEastAsia" w:cstheme="minorBidi"/>
            <w:i w:val="0"/>
            <w:iCs w:val="0"/>
            <w:noProof/>
            <w:sz w:val="22"/>
            <w:szCs w:val="22"/>
            <w:lang w:eastAsia="en-GB" w:bidi="ar-SA"/>
          </w:rPr>
          <w:tab/>
        </w:r>
        <w:r w:rsidR="00890497" w:rsidRPr="00B668E8">
          <w:rPr>
            <w:rStyle w:val="Hyperlink"/>
            <w:noProof/>
          </w:rPr>
          <w:t>Baseline intakes of n</w:t>
        </w:r>
        <w:r w:rsidR="00890497" w:rsidRPr="00B668E8">
          <w:rPr>
            <w:rStyle w:val="Hyperlink"/>
            <w:noProof/>
          </w:rPr>
          <w:noBreakHyphen/>
          <w:t>3 LC</w:t>
        </w:r>
        <w:r w:rsidR="00890497" w:rsidRPr="00B668E8">
          <w:rPr>
            <w:rStyle w:val="Hyperlink"/>
            <w:noProof/>
          </w:rPr>
          <w:noBreakHyphen/>
          <w:t>PUFA</w:t>
        </w:r>
        <w:r w:rsidR="00890497">
          <w:rPr>
            <w:noProof/>
            <w:webHidden/>
          </w:rPr>
          <w:tab/>
        </w:r>
        <w:r w:rsidR="00890497">
          <w:rPr>
            <w:noProof/>
            <w:webHidden/>
          </w:rPr>
          <w:fldChar w:fldCharType="begin"/>
        </w:r>
        <w:r w:rsidR="00890497">
          <w:rPr>
            <w:noProof/>
            <w:webHidden/>
          </w:rPr>
          <w:instrText xml:space="preserve"> PAGEREF _Toc102573429 \h </w:instrText>
        </w:r>
        <w:r w:rsidR="00890497">
          <w:rPr>
            <w:noProof/>
            <w:webHidden/>
          </w:rPr>
        </w:r>
        <w:r w:rsidR="00890497">
          <w:rPr>
            <w:noProof/>
            <w:webHidden/>
          </w:rPr>
          <w:fldChar w:fldCharType="separate"/>
        </w:r>
        <w:r w:rsidR="00AB0671">
          <w:rPr>
            <w:noProof/>
            <w:webHidden/>
          </w:rPr>
          <w:t>10</w:t>
        </w:r>
        <w:r w:rsidR="00890497">
          <w:rPr>
            <w:noProof/>
            <w:webHidden/>
          </w:rPr>
          <w:fldChar w:fldCharType="end"/>
        </w:r>
      </w:hyperlink>
    </w:p>
    <w:p w14:paraId="651AC1D3" w14:textId="779ABC5A"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30" w:history="1">
        <w:r w:rsidR="00890497" w:rsidRPr="00B668E8">
          <w:rPr>
            <w:rStyle w:val="Hyperlink"/>
            <w:noProof/>
          </w:rPr>
          <w:t>3.2.2</w:t>
        </w:r>
        <w:r w:rsidR="00890497">
          <w:rPr>
            <w:rFonts w:eastAsiaTheme="minorEastAsia" w:cstheme="minorBidi"/>
            <w:i w:val="0"/>
            <w:iCs w:val="0"/>
            <w:noProof/>
            <w:sz w:val="22"/>
            <w:szCs w:val="22"/>
            <w:lang w:eastAsia="en-GB" w:bidi="ar-SA"/>
          </w:rPr>
          <w:tab/>
        </w:r>
        <w:r w:rsidR="00890497" w:rsidRPr="00B668E8">
          <w:rPr>
            <w:rStyle w:val="Hyperlink"/>
            <w:noProof/>
          </w:rPr>
          <w:t>Food consumption data used</w:t>
        </w:r>
        <w:r w:rsidR="00890497">
          <w:rPr>
            <w:noProof/>
            <w:webHidden/>
          </w:rPr>
          <w:tab/>
        </w:r>
        <w:r w:rsidR="00890497">
          <w:rPr>
            <w:noProof/>
            <w:webHidden/>
          </w:rPr>
          <w:fldChar w:fldCharType="begin"/>
        </w:r>
        <w:r w:rsidR="00890497">
          <w:rPr>
            <w:noProof/>
            <w:webHidden/>
          </w:rPr>
          <w:instrText xml:space="preserve"> PAGEREF _Toc102573430 \h </w:instrText>
        </w:r>
        <w:r w:rsidR="00890497">
          <w:rPr>
            <w:noProof/>
            <w:webHidden/>
          </w:rPr>
        </w:r>
        <w:r w:rsidR="00890497">
          <w:rPr>
            <w:noProof/>
            <w:webHidden/>
          </w:rPr>
          <w:fldChar w:fldCharType="separate"/>
        </w:r>
        <w:r w:rsidR="00AB0671">
          <w:rPr>
            <w:noProof/>
            <w:webHidden/>
          </w:rPr>
          <w:t>10</w:t>
        </w:r>
        <w:r w:rsidR="00890497">
          <w:rPr>
            <w:noProof/>
            <w:webHidden/>
          </w:rPr>
          <w:fldChar w:fldCharType="end"/>
        </w:r>
      </w:hyperlink>
    </w:p>
    <w:p w14:paraId="4E8A9CD5" w14:textId="48FEEE11"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31" w:history="1">
        <w:r w:rsidR="00890497" w:rsidRPr="00B668E8">
          <w:rPr>
            <w:rStyle w:val="Hyperlink"/>
            <w:noProof/>
          </w:rPr>
          <w:t>3.2.3</w:t>
        </w:r>
        <w:r w:rsidR="00890497">
          <w:rPr>
            <w:rFonts w:eastAsiaTheme="minorEastAsia" w:cstheme="minorBidi"/>
            <w:i w:val="0"/>
            <w:iCs w:val="0"/>
            <w:noProof/>
            <w:sz w:val="22"/>
            <w:szCs w:val="22"/>
            <w:lang w:eastAsia="en-GB" w:bidi="ar-SA"/>
          </w:rPr>
          <w:tab/>
        </w:r>
        <w:r w:rsidR="00890497" w:rsidRPr="00B668E8">
          <w:rPr>
            <w:rStyle w:val="Hyperlink"/>
            <w:noProof/>
          </w:rPr>
          <w:t>Population groups assessed</w:t>
        </w:r>
        <w:r w:rsidR="00890497">
          <w:rPr>
            <w:noProof/>
            <w:webHidden/>
          </w:rPr>
          <w:tab/>
        </w:r>
        <w:r w:rsidR="00890497">
          <w:rPr>
            <w:noProof/>
            <w:webHidden/>
          </w:rPr>
          <w:fldChar w:fldCharType="begin"/>
        </w:r>
        <w:r w:rsidR="00890497">
          <w:rPr>
            <w:noProof/>
            <w:webHidden/>
          </w:rPr>
          <w:instrText xml:space="preserve"> PAGEREF _Toc102573431 \h </w:instrText>
        </w:r>
        <w:r w:rsidR="00890497">
          <w:rPr>
            <w:noProof/>
            <w:webHidden/>
          </w:rPr>
        </w:r>
        <w:r w:rsidR="00890497">
          <w:rPr>
            <w:noProof/>
            <w:webHidden/>
          </w:rPr>
          <w:fldChar w:fldCharType="separate"/>
        </w:r>
        <w:r w:rsidR="00AB0671">
          <w:rPr>
            <w:noProof/>
            <w:webHidden/>
          </w:rPr>
          <w:t>10</w:t>
        </w:r>
        <w:r w:rsidR="00890497">
          <w:rPr>
            <w:noProof/>
            <w:webHidden/>
          </w:rPr>
          <w:fldChar w:fldCharType="end"/>
        </w:r>
      </w:hyperlink>
    </w:p>
    <w:p w14:paraId="36AF87C6" w14:textId="5054FAE0"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32" w:history="1">
        <w:r w:rsidR="00890497" w:rsidRPr="00B668E8">
          <w:rPr>
            <w:rStyle w:val="Hyperlink"/>
            <w:noProof/>
          </w:rPr>
          <w:t>3.2.4</w:t>
        </w:r>
        <w:r w:rsidR="00890497">
          <w:rPr>
            <w:rFonts w:eastAsiaTheme="minorEastAsia" w:cstheme="minorBidi"/>
            <w:i w:val="0"/>
            <w:iCs w:val="0"/>
            <w:noProof/>
            <w:sz w:val="22"/>
            <w:szCs w:val="22"/>
            <w:lang w:eastAsia="en-GB" w:bidi="ar-SA"/>
          </w:rPr>
          <w:tab/>
        </w:r>
        <w:r w:rsidR="00890497" w:rsidRPr="00B668E8">
          <w:rPr>
            <w:rStyle w:val="Hyperlink"/>
            <w:noProof/>
          </w:rPr>
          <w:t>Concentration data used</w:t>
        </w:r>
        <w:r w:rsidR="00890497">
          <w:rPr>
            <w:noProof/>
            <w:webHidden/>
          </w:rPr>
          <w:tab/>
        </w:r>
        <w:r w:rsidR="00890497">
          <w:rPr>
            <w:noProof/>
            <w:webHidden/>
          </w:rPr>
          <w:fldChar w:fldCharType="begin"/>
        </w:r>
        <w:r w:rsidR="00890497">
          <w:rPr>
            <w:noProof/>
            <w:webHidden/>
          </w:rPr>
          <w:instrText xml:space="preserve"> PAGEREF _Toc102573432 \h </w:instrText>
        </w:r>
        <w:r w:rsidR="00890497">
          <w:rPr>
            <w:noProof/>
            <w:webHidden/>
          </w:rPr>
        </w:r>
        <w:r w:rsidR="00890497">
          <w:rPr>
            <w:noProof/>
            <w:webHidden/>
          </w:rPr>
          <w:fldChar w:fldCharType="separate"/>
        </w:r>
        <w:r w:rsidR="00AB0671">
          <w:rPr>
            <w:noProof/>
            <w:webHidden/>
          </w:rPr>
          <w:t>11</w:t>
        </w:r>
        <w:r w:rsidR="00890497">
          <w:rPr>
            <w:noProof/>
            <w:webHidden/>
          </w:rPr>
          <w:fldChar w:fldCharType="end"/>
        </w:r>
      </w:hyperlink>
    </w:p>
    <w:p w14:paraId="06F87C18" w14:textId="34B971AB"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33" w:history="1">
        <w:r w:rsidR="00890497" w:rsidRPr="00B668E8">
          <w:rPr>
            <w:rStyle w:val="Hyperlink"/>
            <w:noProof/>
          </w:rPr>
          <w:t>3.2.5</w:t>
        </w:r>
        <w:r w:rsidR="00890497">
          <w:rPr>
            <w:rFonts w:eastAsiaTheme="minorEastAsia" w:cstheme="minorBidi"/>
            <w:i w:val="0"/>
            <w:iCs w:val="0"/>
            <w:noProof/>
            <w:sz w:val="22"/>
            <w:szCs w:val="22"/>
            <w:lang w:eastAsia="en-GB" w:bidi="ar-SA"/>
          </w:rPr>
          <w:tab/>
        </w:r>
        <w:r w:rsidR="00890497" w:rsidRPr="00B668E8">
          <w:rPr>
            <w:rStyle w:val="Hyperlink"/>
            <w:noProof/>
          </w:rPr>
          <w:t>Scenarios</w:t>
        </w:r>
        <w:r w:rsidR="00890497">
          <w:rPr>
            <w:noProof/>
            <w:webHidden/>
          </w:rPr>
          <w:tab/>
        </w:r>
        <w:r w:rsidR="00890497">
          <w:rPr>
            <w:noProof/>
            <w:webHidden/>
          </w:rPr>
          <w:fldChar w:fldCharType="begin"/>
        </w:r>
        <w:r w:rsidR="00890497">
          <w:rPr>
            <w:noProof/>
            <w:webHidden/>
          </w:rPr>
          <w:instrText xml:space="preserve"> PAGEREF _Toc102573433 \h </w:instrText>
        </w:r>
        <w:r w:rsidR="00890497">
          <w:rPr>
            <w:noProof/>
            <w:webHidden/>
          </w:rPr>
        </w:r>
        <w:r w:rsidR="00890497">
          <w:rPr>
            <w:noProof/>
            <w:webHidden/>
          </w:rPr>
          <w:fldChar w:fldCharType="separate"/>
        </w:r>
        <w:r w:rsidR="00AB0671">
          <w:rPr>
            <w:noProof/>
            <w:webHidden/>
          </w:rPr>
          <w:t>11</w:t>
        </w:r>
        <w:r w:rsidR="00890497">
          <w:rPr>
            <w:noProof/>
            <w:webHidden/>
          </w:rPr>
          <w:fldChar w:fldCharType="end"/>
        </w:r>
      </w:hyperlink>
    </w:p>
    <w:p w14:paraId="05BD4AF0" w14:textId="4C3C50A0"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34" w:history="1">
        <w:r w:rsidR="00890497" w:rsidRPr="00B668E8">
          <w:rPr>
            <w:rStyle w:val="Hyperlink"/>
            <w:noProof/>
          </w:rPr>
          <w:t>3.2.6</w:t>
        </w:r>
        <w:r w:rsidR="00890497">
          <w:rPr>
            <w:rFonts w:eastAsiaTheme="minorEastAsia" w:cstheme="minorBidi"/>
            <w:i w:val="0"/>
            <w:iCs w:val="0"/>
            <w:noProof/>
            <w:sz w:val="22"/>
            <w:szCs w:val="22"/>
            <w:lang w:eastAsia="en-GB" w:bidi="ar-SA"/>
          </w:rPr>
          <w:tab/>
        </w:r>
        <w:r w:rsidR="00890497" w:rsidRPr="00B668E8">
          <w:rPr>
            <w:rStyle w:val="Hyperlink"/>
            <w:noProof/>
          </w:rPr>
          <w:t>Assumptions and limitations of the dietary intake assessment</w:t>
        </w:r>
        <w:r w:rsidR="00890497">
          <w:rPr>
            <w:noProof/>
            <w:webHidden/>
          </w:rPr>
          <w:tab/>
        </w:r>
        <w:r w:rsidR="00890497">
          <w:rPr>
            <w:noProof/>
            <w:webHidden/>
          </w:rPr>
          <w:fldChar w:fldCharType="begin"/>
        </w:r>
        <w:r w:rsidR="00890497">
          <w:rPr>
            <w:noProof/>
            <w:webHidden/>
          </w:rPr>
          <w:instrText xml:space="preserve"> PAGEREF _Toc102573434 \h </w:instrText>
        </w:r>
        <w:r w:rsidR="00890497">
          <w:rPr>
            <w:noProof/>
            <w:webHidden/>
          </w:rPr>
        </w:r>
        <w:r w:rsidR="00890497">
          <w:rPr>
            <w:noProof/>
            <w:webHidden/>
          </w:rPr>
          <w:fldChar w:fldCharType="separate"/>
        </w:r>
        <w:r w:rsidR="00AB0671">
          <w:rPr>
            <w:noProof/>
            <w:webHidden/>
          </w:rPr>
          <w:t>12</w:t>
        </w:r>
        <w:r w:rsidR="00890497">
          <w:rPr>
            <w:noProof/>
            <w:webHidden/>
          </w:rPr>
          <w:fldChar w:fldCharType="end"/>
        </w:r>
      </w:hyperlink>
    </w:p>
    <w:p w14:paraId="49F07EBA" w14:textId="7F7221DE"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35" w:history="1">
        <w:r w:rsidR="00890497" w:rsidRPr="00B668E8">
          <w:rPr>
            <w:rStyle w:val="Hyperlink"/>
            <w:noProof/>
          </w:rPr>
          <w:t>3.3</w:t>
        </w:r>
        <w:r w:rsidR="00890497">
          <w:rPr>
            <w:rFonts w:eastAsiaTheme="minorEastAsia" w:cstheme="minorBidi"/>
            <w:smallCaps w:val="0"/>
            <w:noProof/>
            <w:sz w:val="22"/>
            <w:szCs w:val="22"/>
            <w:lang w:eastAsia="en-GB" w:bidi="ar-SA"/>
          </w:rPr>
          <w:tab/>
        </w:r>
        <w:r w:rsidR="00890497" w:rsidRPr="00B668E8">
          <w:rPr>
            <w:rStyle w:val="Hyperlink"/>
            <w:noProof/>
          </w:rPr>
          <w:t>Dietary intake estimate results</w:t>
        </w:r>
        <w:r w:rsidR="00890497">
          <w:rPr>
            <w:noProof/>
            <w:webHidden/>
          </w:rPr>
          <w:tab/>
        </w:r>
        <w:r w:rsidR="00890497">
          <w:rPr>
            <w:noProof/>
            <w:webHidden/>
          </w:rPr>
          <w:fldChar w:fldCharType="begin"/>
        </w:r>
        <w:r w:rsidR="00890497">
          <w:rPr>
            <w:noProof/>
            <w:webHidden/>
          </w:rPr>
          <w:instrText xml:space="preserve"> PAGEREF _Toc102573435 \h </w:instrText>
        </w:r>
        <w:r w:rsidR="00890497">
          <w:rPr>
            <w:noProof/>
            <w:webHidden/>
          </w:rPr>
        </w:r>
        <w:r w:rsidR="00890497">
          <w:rPr>
            <w:noProof/>
            <w:webHidden/>
          </w:rPr>
          <w:fldChar w:fldCharType="separate"/>
        </w:r>
        <w:r w:rsidR="00AB0671">
          <w:rPr>
            <w:noProof/>
            <w:webHidden/>
          </w:rPr>
          <w:t>12</w:t>
        </w:r>
        <w:r w:rsidR="00890497">
          <w:rPr>
            <w:noProof/>
            <w:webHidden/>
          </w:rPr>
          <w:fldChar w:fldCharType="end"/>
        </w:r>
      </w:hyperlink>
    </w:p>
    <w:p w14:paraId="2A3A7F7C" w14:textId="4A04A5D7"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36" w:history="1">
        <w:r w:rsidR="00890497" w:rsidRPr="00B668E8">
          <w:rPr>
            <w:rStyle w:val="Hyperlink"/>
            <w:noProof/>
          </w:rPr>
          <w:t>3.3.1</w:t>
        </w:r>
        <w:r w:rsidR="00890497">
          <w:rPr>
            <w:rFonts w:eastAsiaTheme="minorEastAsia" w:cstheme="minorBidi"/>
            <w:i w:val="0"/>
            <w:iCs w:val="0"/>
            <w:noProof/>
            <w:sz w:val="22"/>
            <w:szCs w:val="22"/>
            <w:lang w:eastAsia="en-GB" w:bidi="ar-SA"/>
          </w:rPr>
          <w:tab/>
        </w:r>
        <w:r w:rsidR="00890497" w:rsidRPr="00B668E8">
          <w:rPr>
            <w:rStyle w:val="Hyperlink"/>
            <w:noProof/>
          </w:rPr>
          <w:t>Estimated n-3 LC-PUFA dietary intakes for Australia</w:t>
        </w:r>
        <w:r w:rsidR="00890497">
          <w:rPr>
            <w:noProof/>
            <w:webHidden/>
          </w:rPr>
          <w:tab/>
        </w:r>
        <w:r w:rsidR="00890497">
          <w:rPr>
            <w:noProof/>
            <w:webHidden/>
          </w:rPr>
          <w:fldChar w:fldCharType="begin"/>
        </w:r>
        <w:r w:rsidR="00890497">
          <w:rPr>
            <w:noProof/>
            <w:webHidden/>
          </w:rPr>
          <w:instrText xml:space="preserve"> PAGEREF _Toc102573436 \h </w:instrText>
        </w:r>
        <w:r w:rsidR="00890497">
          <w:rPr>
            <w:noProof/>
            <w:webHidden/>
          </w:rPr>
        </w:r>
        <w:r w:rsidR="00890497">
          <w:rPr>
            <w:noProof/>
            <w:webHidden/>
          </w:rPr>
          <w:fldChar w:fldCharType="separate"/>
        </w:r>
        <w:r w:rsidR="00AB0671">
          <w:rPr>
            <w:noProof/>
            <w:webHidden/>
          </w:rPr>
          <w:t>12</w:t>
        </w:r>
        <w:r w:rsidR="00890497">
          <w:rPr>
            <w:noProof/>
            <w:webHidden/>
          </w:rPr>
          <w:fldChar w:fldCharType="end"/>
        </w:r>
      </w:hyperlink>
    </w:p>
    <w:p w14:paraId="213990B0" w14:textId="51DA6C18"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37" w:history="1">
        <w:r w:rsidR="00890497" w:rsidRPr="00B668E8">
          <w:rPr>
            <w:rStyle w:val="Hyperlink"/>
            <w:noProof/>
          </w:rPr>
          <w:t>3.3.2</w:t>
        </w:r>
        <w:r w:rsidR="00890497">
          <w:rPr>
            <w:rFonts w:eastAsiaTheme="minorEastAsia" w:cstheme="minorBidi"/>
            <w:i w:val="0"/>
            <w:iCs w:val="0"/>
            <w:noProof/>
            <w:sz w:val="22"/>
            <w:szCs w:val="22"/>
            <w:lang w:eastAsia="en-GB" w:bidi="ar-SA"/>
          </w:rPr>
          <w:tab/>
        </w:r>
        <w:r w:rsidR="00890497" w:rsidRPr="00B668E8">
          <w:rPr>
            <w:rStyle w:val="Hyperlink"/>
            <w:noProof/>
          </w:rPr>
          <w:t>Estimated n-3 LC-PUFA dietary intakes for New Zealand</w:t>
        </w:r>
        <w:r w:rsidR="00890497">
          <w:rPr>
            <w:noProof/>
            <w:webHidden/>
          </w:rPr>
          <w:tab/>
        </w:r>
        <w:r w:rsidR="00890497">
          <w:rPr>
            <w:noProof/>
            <w:webHidden/>
          </w:rPr>
          <w:fldChar w:fldCharType="begin"/>
        </w:r>
        <w:r w:rsidR="00890497">
          <w:rPr>
            <w:noProof/>
            <w:webHidden/>
          </w:rPr>
          <w:instrText xml:space="preserve"> PAGEREF _Toc102573437 \h </w:instrText>
        </w:r>
        <w:r w:rsidR="00890497">
          <w:rPr>
            <w:noProof/>
            <w:webHidden/>
          </w:rPr>
        </w:r>
        <w:r w:rsidR="00890497">
          <w:rPr>
            <w:noProof/>
            <w:webHidden/>
          </w:rPr>
          <w:fldChar w:fldCharType="separate"/>
        </w:r>
        <w:r w:rsidR="00AB0671">
          <w:rPr>
            <w:noProof/>
            <w:webHidden/>
          </w:rPr>
          <w:t>13</w:t>
        </w:r>
        <w:r w:rsidR="00890497">
          <w:rPr>
            <w:noProof/>
            <w:webHidden/>
          </w:rPr>
          <w:fldChar w:fldCharType="end"/>
        </w:r>
      </w:hyperlink>
    </w:p>
    <w:p w14:paraId="38708535" w14:textId="7BC3CFCC" w:rsidR="00890497" w:rsidRDefault="008F77BC">
      <w:pPr>
        <w:pStyle w:val="TOC3"/>
        <w:tabs>
          <w:tab w:val="left" w:pos="1100"/>
          <w:tab w:val="right" w:leader="dot" w:pos="9060"/>
        </w:tabs>
        <w:rPr>
          <w:rFonts w:eastAsiaTheme="minorEastAsia" w:cstheme="minorBidi"/>
          <w:i w:val="0"/>
          <w:iCs w:val="0"/>
          <w:noProof/>
          <w:sz w:val="22"/>
          <w:szCs w:val="22"/>
          <w:lang w:eastAsia="en-GB" w:bidi="ar-SA"/>
        </w:rPr>
      </w:pPr>
      <w:hyperlink w:anchor="_Toc102573438" w:history="1">
        <w:r w:rsidR="00890497" w:rsidRPr="00B668E8">
          <w:rPr>
            <w:rStyle w:val="Hyperlink"/>
            <w:noProof/>
          </w:rPr>
          <w:t>3.3.3</w:t>
        </w:r>
        <w:r w:rsidR="00890497">
          <w:rPr>
            <w:rFonts w:eastAsiaTheme="minorEastAsia" w:cstheme="minorBidi"/>
            <w:i w:val="0"/>
            <w:iCs w:val="0"/>
            <w:noProof/>
            <w:sz w:val="22"/>
            <w:szCs w:val="22"/>
            <w:lang w:eastAsia="en-GB" w:bidi="ar-SA"/>
          </w:rPr>
          <w:tab/>
        </w:r>
        <w:r w:rsidR="00890497" w:rsidRPr="00B668E8">
          <w:rPr>
            <w:rStyle w:val="Hyperlink"/>
            <w:noProof/>
          </w:rPr>
          <w:t>Major food categories contributing to n-3 LC-PUFA dietary intakes</w:t>
        </w:r>
        <w:r w:rsidR="00890497">
          <w:rPr>
            <w:noProof/>
            <w:webHidden/>
          </w:rPr>
          <w:tab/>
        </w:r>
        <w:r w:rsidR="00890497">
          <w:rPr>
            <w:noProof/>
            <w:webHidden/>
          </w:rPr>
          <w:fldChar w:fldCharType="begin"/>
        </w:r>
        <w:r w:rsidR="00890497">
          <w:rPr>
            <w:noProof/>
            <w:webHidden/>
          </w:rPr>
          <w:instrText xml:space="preserve"> PAGEREF _Toc102573438 \h </w:instrText>
        </w:r>
        <w:r w:rsidR="00890497">
          <w:rPr>
            <w:noProof/>
            <w:webHidden/>
          </w:rPr>
        </w:r>
        <w:r w:rsidR="00890497">
          <w:rPr>
            <w:noProof/>
            <w:webHidden/>
          </w:rPr>
          <w:fldChar w:fldCharType="separate"/>
        </w:r>
        <w:r w:rsidR="00AB0671">
          <w:rPr>
            <w:noProof/>
            <w:webHidden/>
          </w:rPr>
          <w:t>13</w:t>
        </w:r>
        <w:r w:rsidR="00890497">
          <w:rPr>
            <w:noProof/>
            <w:webHidden/>
          </w:rPr>
          <w:fldChar w:fldCharType="end"/>
        </w:r>
      </w:hyperlink>
    </w:p>
    <w:p w14:paraId="4FB310DA" w14:textId="200C75AB" w:rsidR="00890497" w:rsidRDefault="008F77BC">
      <w:pPr>
        <w:pStyle w:val="TOC2"/>
        <w:tabs>
          <w:tab w:val="left" w:pos="880"/>
          <w:tab w:val="right" w:leader="dot" w:pos="9060"/>
        </w:tabs>
        <w:rPr>
          <w:rFonts w:eastAsiaTheme="minorEastAsia" w:cstheme="minorBidi"/>
          <w:smallCaps w:val="0"/>
          <w:noProof/>
          <w:sz w:val="22"/>
          <w:szCs w:val="22"/>
          <w:lang w:eastAsia="en-GB" w:bidi="ar-SA"/>
        </w:rPr>
      </w:pPr>
      <w:hyperlink w:anchor="_Toc102573439" w:history="1">
        <w:r w:rsidR="00890497" w:rsidRPr="00B668E8">
          <w:rPr>
            <w:rStyle w:val="Hyperlink"/>
            <w:noProof/>
          </w:rPr>
          <w:t>3.4</w:t>
        </w:r>
        <w:r w:rsidR="00890497">
          <w:rPr>
            <w:rFonts w:eastAsiaTheme="minorEastAsia" w:cstheme="minorBidi"/>
            <w:smallCaps w:val="0"/>
            <w:noProof/>
            <w:sz w:val="22"/>
            <w:szCs w:val="22"/>
            <w:lang w:eastAsia="en-GB" w:bidi="ar-SA"/>
          </w:rPr>
          <w:tab/>
        </w:r>
        <w:r w:rsidR="00890497" w:rsidRPr="00B668E8">
          <w:rPr>
            <w:rStyle w:val="Hyperlink"/>
            <w:noProof/>
          </w:rPr>
          <w:t>Conclusion of the dietary intake assessment</w:t>
        </w:r>
        <w:r w:rsidR="00890497">
          <w:rPr>
            <w:noProof/>
            <w:webHidden/>
          </w:rPr>
          <w:tab/>
        </w:r>
        <w:r w:rsidR="00890497">
          <w:rPr>
            <w:noProof/>
            <w:webHidden/>
          </w:rPr>
          <w:fldChar w:fldCharType="begin"/>
        </w:r>
        <w:r w:rsidR="00890497">
          <w:rPr>
            <w:noProof/>
            <w:webHidden/>
          </w:rPr>
          <w:instrText xml:space="preserve"> PAGEREF _Toc102573439 \h </w:instrText>
        </w:r>
        <w:r w:rsidR="00890497">
          <w:rPr>
            <w:noProof/>
            <w:webHidden/>
          </w:rPr>
        </w:r>
        <w:r w:rsidR="00890497">
          <w:rPr>
            <w:noProof/>
            <w:webHidden/>
          </w:rPr>
          <w:fldChar w:fldCharType="separate"/>
        </w:r>
        <w:r w:rsidR="00AB0671">
          <w:rPr>
            <w:noProof/>
            <w:webHidden/>
          </w:rPr>
          <w:t>13</w:t>
        </w:r>
        <w:r w:rsidR="00890497">
          <w:rPr>
            <w:noProof/>
            <w:webHidden/>
          </w:rPr>
          <w:fldChar w:fldCharType="end"/>
        </w:r>
      </w:hyperlink>
    </w:p>
    <w:p w14:paraId="239A69CB" w14:textId="548429F6" w:rsidR="00890497" w:rsidRDefault="008F77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2573440" w:history="1">
        <w:r w:rsidR="00890497" w:rsidRPr="00B668E8">
          <w:rPr>
            <w:rStyle w:val="Hyperlink"/>
            <w:noProof/>
          </w:rPr>
          <w:t xml:space="preserve">4 </w:t>
        </w:r>
        <w:r w:rsidR="00890497">
          <w:rPr>
            <w:rFonts w:eastAsiaTheme="minorEastAsia" w:cstheme="minorBidi"/>
            <w:b w:val="0"/>
            <w:bCs w:val="0"/>
            <w:caps w:val="0"/>
            <w:noProof/>
            <w:sz w:val="22"/>
            <w:szCs w:val="22"/>
            <w:lang w:eastAsia="en-GB" w:bidi="ar-SA"/>
          </w:rPr>
          <w:tab/>
        </w:r>
        <w:r w:rsidR="00890497" w:rsidRPr="00B668E8">
          <w:rPr>
            <w:rStyle w:val="Hyperlink"/>
            <w:noProof/>
          </w:rPr>
          <w:t>Risk characterisation and conclusion</w:t>
        </w:r>
        <w:r w:rsidR="00890497">
          <w:rPr>
            <w:noProof/>
            <w:webHidden/>
          </w:rPr>
          <w:tab/>
        </w:r>
        <w:r w:rsidR="00890497">
          <w:rPr>
            <w:noProof/>
            <w:webHidden/>
          </w:rPr>
          <w:fldChar w:fldCharType="begin"/>
        </w:r>
        <w:r w:rsidR="00890497">
          <w:rPr>
            <w:noProof/>
            <w:webHidden/>
          </w:rPr>
          <w:instrText xml:space="preserve"> PAGEREF _Toc102573440 \h </w:instrText>
        </w:r>
        <w:r w:rsidR="00890497">
          <w:rPr>
            <w:noProof/>
            <w:webHidden/>
          </w:rPr>
        </w:r>
        <w:r w:rsidR="00890497">
          <w:rPr>
            <w:noProof/>
            <w:webHidden/>
          </w:rPr>
          <w:fldChar w:fldCharType="separate"/>
        </w:r>
        <w:r w:rsidR="00AB0671">
          <w:rPr>
            <w:noProof/>
            <w:webHidden/>
          </w:rPr>
          <w:t>14</w:t>
        </w:r>
        <w:r w:rsidR="00890497">
          <w:rPr>
            <w:noProof/>
            <w:webHidden/>
          </w:rPr>
          <w:fldChar w:fldCharType="end"/>
        </w:r>
      </w:hyperlink>
    </w:p>
    <w:p w14:paraId="75D9481D" w14:textId="64A4B469" w:rsidR="00890497" w:rsidRDefault="008F77BC">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2573441" w:history="1">
        <w:r w:rsidR="00890497" w:rsidRPr="00B668E8">
          <w:rPr>
            <w:rStyle w:val="Hyperlink"/>
            <w:noProof/>
          </w:rPr>
          <w:t>5</w:t>
        </w:r>
        <w:r w:rsidR="00890497">
          <w:rPr>
            <w:rFonts w:eastAsiaTheme="minorEastAsia" w:cstheme="minorBidi"/>
            <w:b w:val="0"/>
            <w:bCs w:val="0"/>
            <w:caps w:val="0"/>
            <w:noProof/>
            <w:sz w:val="22"/>
            <w:szCs w:val="22"/>
            <w:lang w:eastAsia="en-GB" w:bidi="ar-SA"/>
          </w:rPr>
          <w:tab/>
        </w:r>
        <w:r w:rsidR="00890497" w:rsidRPr="00B668E8">
          <w:rPr>
            <w:rStyle w:val="Hyperlink"/>
            <w:noProof/>
          </w:rPr>
          <w:t>References</w:t>
        </w:r>
        <w:r w:rsidR="00890497">
          <w:rPr>
            <w:noProof/>
            <w:webHidden/>
          </w:rPr>
          <w:tab/>
        </w:r>
        <w:r w:rsidR="00890497">
          <w:rPr>
            <w:noProof/>
            <w:webHidden/>
          </w:rPr>
          <w:fldChar w:fldCharType="begin"/>
        </w:r>
        <w:r w:rsidR="00890497">
          <w:rPr>
            <w:noProof/>
            <w:webHidden/>
          </w:rPr>
          <w:instrText xml:space="preserve"> PAGEREF _Toc102573441 \h </w:instrText>
        </w:r>
        <w:r w:rsidR="00890497">
          <w:rPr>
            <w:noProof/>
            <w:webHidden/>
          </w:rPr>
        </w:r>
        <w:r w:rsidR="00890497">
          <w:rPr>
            <w:noProof/>
            <w:webHidden/>
          </w:rPr>
          <w:fldChar w:fldCharType="separate"/>
        </w:r>
        <w:r w:rsidR="00AB0671">
          <w:rPr>
            <w:noProof/>
            <w:webHidden/>
          </w:rPr>
          <w:t>15</w:t>
        </w:r>
        <w:r w:rsidR="00890497">
          <w:rPr>
            <w:noProof/>
            <w:webHidden/>
          </w:rPr>
          <w:fldChar w:fldCharType="end"/>
        </w:r>
      </w:hyperlink>
    </w:p>
    <w:p w14:paraId="2BB089A8" w14:textId="2279CA13" w:rsidR="00890497" w:rsidRDefault="008F77BC">
      <w:pPr>
        <w:pStyle w:val="TOC1"/>
        <w:tabs>
          <w:tab w:val="right" w:leader="dot" w:pos="9060"/>
        </w:tabs>
        <w:rPr>
          <w:rFonts w:eastAsiaTheme="minorEastAsia" w:cstheme="minorBidi"/>
          <w:b w:val="0"/>
          <w:bCs w:val="0"/>
          <w:caps w:val="0"/>
          <w:noProof/>
          <w:sz w:val="22"/>
          <w:szCs w:val="22"/>
          <w:lang w:eastAsia="en-GB" w:bidi="ar-SA"/>
        </w:rPr>
      </w:pPr>
      <w:hyperlink w:anchor="_Toc102573442" w:history="1">
        <w:r w:rsidR="00890497" w:rsidRPr="00B668E8">
          <w:rPr>
            <w:rStyle w:val="Hyperlink"/>
            <w:noProof/>
          </w:rPr>
          <w:t>Appendix 1: Estimated dietary intakes of n-3 LC-PUFA for Australian and New Zealand population groups under different scenarios.</w:t>
        </w:r>
        <w:r w:rsidR="00890497">
          <w:rPr>
            <w:noProof/>
            <w:webHidden/>
          </w:rPr>
          <w:tab/>
        </w:r>
        <w:r w:rsidR="00890497">
          <w:rPr>
            <w:noProof/>
            <w:webHidden/>
          </w:rPr>
          <w:fldChar w:fldCharType="begin"/>
        </w:r>
        <w:r w:rsidR="00890497">
          <w:rPr>
            <w:noProof/>
            <w:webHidden/>
          </w:rPr>
          <w:instrText xml:space="preserve"> PAGEREF _Toc102573442 \h </w:instrText>
        </w:r>
        <w:r w:rsidR="00890497">
          <w:rPr>
            <w:noProof/>
            <w:webHidden/>
          </w:rPr>
        </w:r>
        <w:r w:rsidR="00890497">
          <w:rPr>
            <w:noProof/>
            <w:webHidden/>
          </w:rPr>
          <w:fldChar w:fldCharType="separate"/>
        </w:r>
        <w:r w:rsidR="00AB0671">
          <w:rPr>
            <w:noProof/>
            <w:webHidden/>
          </w:rPr>
          <w:t>18</w:t>
        </w:r>
        <w:r w:rsidR="00890497">
          <w:rPr>
            <w:noProof/>
            <w:webHidden/>
          </w:rPr>
          <w:fldChar w:fldCharType="end"/>
        </w:r>
      </w:hyperlink>
    </w:p>
    <w:p w14:paraId="1FA405FD" w14:textId="75BFF89D" w:rsidR="00051ED9" w:rsidRDefault="00326D85" w:rsidP="00772BDC">
      <w:r>
        <w:fldChar w:fldCharType="end"/>
      </w:r>
      <w:r w:rsidR="00562917" w:rsidRPr="00E203C2">
        <w:br w:type="page"/>
      </w:r>
    </w:p>
    <w:p w14:paraId="4C81C788" w14:textId="34AAC70C" w:rsidR="00180E02" w:rsidRDefault="00180E02" w:rsidP="00180E02">
      <w:pPr>
        <w:pStyle w:val="Heading1"/>
      </w:pPr>
      <w:bookmarkStart w:id="3" w:name="_Toc102573417"/>
      <w:bookmarkStart w:id="4" w:name="_Toc496169767"/>
      <w:bookmarkStart w:id="5" w:name="_Toc500321328"/>
      <w:bookmarkStart w:id="6" w:name="_Toc52290663"/>
      <w:bookmarkStart w:id="7" w:name="_Toc80177613"/>
      <w:bookmarkStart w:id="8" w:name="_Toc80823116"/>
      <w:r>
        <w:lastRenderedPageBreak/>
        <w:t>1</w:t>
      </w:r>
      <w:r w:rsidRPr="00CD5FA7">
        <w:tab/>
      </w:r>
      <w:r>
        <w:t>Introduction</w:t>
      </w:r>
      <w:bookmarkEnd w:id="3"/>
    </w:p>
    <w:p w14:paraId="29094EBD" w14:textId="1DE687A3" w:rsidR="00297C46" w:rsidRDefault="00370BAB" w:rsidP="008733DF">
      <w:pPr>
        <w:spacing w:after="240"/>
        <w:rPr>
          <w:lang w:bidi="ar-SA"/>
        </w:rPr>
      </w:pPr>
      <w:r>
        <w:rPr>
          <w:lang w:bidi="ar-SA"/>
        </w:rPr>
        <w:t xml:space="preserve">Application </w:t>
      </w:r>
      <w:r w:rsidR="004171DE">
        <w:rPr>
          <w:lang w:bidi="ar-SA"/>
        </w:rPr>
        <w:t xml:space="preserve">A1239 </w:t>
      </w:r>
      <w:r>
        <w:rPr>
          <w:lang w:bidi="ar-SA"/>
        </w:rPr>
        <w:t xml:space="preserve">seeks to amend the Australia New Zealand Food Standards Code to </w:t>
      </w:r>
      <w:r w:rsidR="00911E8E">
        <w:rPr>
          <w:lang w:bidi="ar-SA"/>
        </w:rPr>
        <w:t>permit the sale and use of</w:t>
      </w:r>
      <w:r>
        <w:rPr>
          <w:lang w:bidi="ar-SA"/>
        </w:rPr>
        <w:t xml:space="preserve"> food derived from canola that has been genetically-modified to contain the </w:t>
      </w:r>
      <w:r w:rsidR="00944DDF">
        <w:rPr>
          <w:lang w:bidi="ar-SA"/>
        </w:rPr>
        <w:t xml:space="preserve">omega-3 </w:t>
      </w:r>
      <w:r w:rsidR="00D5500B">
        <w:rPr>
          <w:lang w:bidi="ar-SA"/>
        </w:rPr>
        <w:t xml:space="preserve">(n-3) </w:t>
      </w:r>
      <w:r>
        <w:rPr>
          <w:lang w:bidi="ar-SA"/>
        </w:rPr>
        <w:t xml:space="preserve">long-chain </w:t>
      </w:r>
      <w:r w:rsidR="00AC6564">
        <w:rPr>
          <w:lang w:bidi="ar-SA"/>
        </w:rPr>
        <w:t xml:space="preserve">polyunsaturated </w:t>
      </w:r>
      <w:r>
        <w:rPr>
          <w:lang w:bidi="ar-SA"/>
        </w:rPr>
        <w:t>fatty acids</w:t>
      </w:r>
      <w:r w:rsidR="00AC6564">
        <w:rPr>
          <w:lang w:bidi="ar-SA"/>
        </w:rPr>
        <w:t xml:space="preserve"> (</w:t>
      </w:r>
      <w:r w:rsidR="00E6508B">
        <w:rPr>
          <w:lang w:bidi="ar-SA"/>
        </w:rPr>
        <w:t>LC-</w:t>
      </w:r>
      <w:r w:rsidR="00AC6564">
        <w:rPr>
          <w:lang w:bidi="ar-SA"/>
        </w:rPr>
        <w:t>PUFA)</w:t>
      </w:r>
      <w:r>
        <w:rPr>
          <w:lang w:bidi="ar-SA"/>
        </w:rPr>
        <w:t xml:space="preserve"> </w:t>
      </w:r>
      <w:r w:rsidR="00E6508B">
        <w:rPr>
          <w:lang w:bidi="ar-SA"/>
        </w:rPr>
        <w:t>eicosapentaenoic acid (</w:t>
      </w:r>
      <w:r>
        <w:rPr>
          <w:lang w:bidi="ar-SA"/>
        </w:rPr>
        <w:t>EPA</w:t>
      </w:r>
      <w:r w:rsidR="00E6508B">
        <w:rPr>
          <w:lang w:bidi="ar-SA"/>
        </w:rPr>
        <w:t>)</w:t>
      </w:r>
      <w:r>
        <w:rPr>
          <w:lang w:bidi="ar-SA"/>
        </w:rPr>
        <w:t xml:space="preserve"> and</w:t>
      </w:r>
      <w:r w:rsidR="000F5CAA">
        <w:rPr>
          <w:lang w:bidi="ar-SA"/>
        </w:rPr>
        <w:t xml:space="preserve"> </w:t>
      </w:r>
      <w:r>
        <w:rPr>
          <w:lang w:bidi="ar-SA"/>
        </w:rPr>
        <w:t xml:space="preserve">docosahexaenoic acid (DHA). In addition to EPA and DHA, </w:t>
      </w:r>
      <w:r w:rsidR="002F36D0">
        <w:rPr>
          <w:lang w:bidi="ar-SA"/>
        </w:rPr>
        <w:t>canola line LBFLFK</w:t>
      </w:r>
      <w:r w:rsidR="00AB770F">
        <w:rPr>
          <w:lang w:bidi="ar-SA"/>
        </w:rPr>
        <w:t xml:space="preserve"> also contains</w:t>
      </w:r>
      <w:r w:rsidR="00E6508B">
        <w:rPr>
          <w:lang w:bidi="ar-SA"/>
        </w:rPr>
        <w:t xml:space="preserve"> the</w:t>
      </w:r>
      <w:r w:rsidR="00AB770F">
        <w:rPr>
          <w:lang w:bidi="ar-SA"/>
        </w:rPr>
        <w:t xml:space="preserve"> </w:t>
      </w:r>
      <w:r w:rsidR="00E6508B" w:rsidRPr="00E6508B">
        <w:rPr>
          <w:lang w:bidi="ar-SA"/>
        </w:rPr>
        <w:t xml:space="preserve">n-3 LC-PUFA </w:t>
      </w:r>
      <w:r>
        <w:rPr>
          <w:lang w:bidi="ar-SA"/>
        </w:rPr>
        <w:t>docosapenta</w:t>
      </w:r>
      <w:r w:rsidR="00AB770F">
        <w:rPr>
          <w:lang w:bidi="ar-SA"/>
        </w:rPr>
        <w:t>enoic acid (DPA)</w:t>
      </w:r>
      <w:r w:rsidR="00561141">
        <w:rPr>
          <w:rStyle w:val="FootnoteReference"/>
          <w:lang w:bidi="ar-SA"/>
        </w:rPr>
        <w:footnoteReference w:id="2"/>
      </w:r>
      <w:r w:rsidR="005565DD">
        <w:rPr>
          <w:lang w:bidi="ar-SA"/>
        </w:rPr>
        <w:t>, which is formed as an intermediate in the conversion of EPA to DHA</w:t>
      </w:r>
      <w:r>
        <w:rPr>
          <w:lang w:bidi="ar-SA"/>
        </w:rPr>
        <w:t xml:space="preserve"> </w:t>
      </w:r>
    </w:p>
    <w:p w14:paraId="10A821CA" w14:textId="716CE4C3" w:rsidR="00370BAB" w:rsidRDefault="000F5CAA" w:rsidP="008733DF">
      <w:pPr>
        <w:spacing w:after="240"/>
        <w:rPr>
          <w:lang w:bidi="ar-SA"/>
        </w:rPr>
      </w:pPr>
      <w:r>
        <w:rPr>
          <w:lang w:bidi="ar-SA"/>
        </w:rPr>
        <w:t>Fish</w:t>
      </w:r>
      <w:r w:rsidDel="007F2C37">
        <w:rPr>
          <w:lang w:bidi="ar-SA"/>
        </w:rPr>
        <w:t xml:space="preserve"> </w:t>
      </w:r>
      <w:r>
        <w:rPr>
          <w:lang w:bidi="ar-SA"/>
        </w:rPr>
        <w:t xml:space="preserve">is typically the major contributor to dietary intake of </w:t>
      </w:r>
      <w:r w:rsidR="00944DDF">
        <w:rPr>
          <w:lang w:bidi="ar-SA"/>
        </w:rPr>
        <w:t>EPA, DPA and DHA</w:t>
      </w:r>
      <w:r>
        <w:rPr>
          <w:lang w:bidi="ar-SA"/>
        </w:rPr>
        <w:t xml:space="preserve">. </w:t>
      </w:r>
      <w:r w:rsidR="00D11D56" w:rsidRPr="00D11D56">
        <w:rPr>
          <w:lang w:bidi="ar-SA"/>
        </w:rPr>
        <w:t>n-3 LC-PUFA have been associated with beneficial ef</w:t>
      </w:r>
      <w:r w:rsidR="00333FA5">
        <w:rPr>
          <w:lang w:bidi="ar-SA"/>
        </w:rPr>
        <w:t>fects</w:t>
      </w:r>
      <w:r w:rsidR="004937B0">
        <w:rPr>
          <w:lang w:bidi="ar-SA"/>
        </w:rPr>
        <w:t>, particularly</w:t>
      </w:r>
      <w:r w:rsidR="00333FA5">
        <w:rPr>
          <w:lang w:bidi="ar-SA"/>
        </w:rPr>
        <w:t xml:space="preserve"> on cardiovascular health, however adverse effects have been reported in some studies.</w:t>
      </w:r>
      <w:r w:rsidR="00297C46">
        <w:rPr>
          <w:lang w:bidi="ar-SA"/>
        </w:rPr>
        <w:t xml:space="preserve"> An </w:t>
      </w:r>
      <w:r w:rsidR="00297C46" w:rsidRPr="00297C46">
        <w:rPr>
          <w:lang w:bidi="ar-SA"/>
        </w:rPr>
        <w:t>U</w:t>
      </w:r>
      <w:r w:rsidR="00297C46">
        <w:rPr>
          <w:lang w:bidi="ar-SA"/>
        </w:rPr>
        <w:t xml:space="preserve">pper </w:t>
      </w:r>
      <w:r w:rsidR="00297C46" w:rsidRPr="00297C46">
        <w:rPr>
          <w:lang w:bidi="ar-SA"/>
        </w:rPr>
        <w:t>L</w:t>
      </w:r>
      <w:r w:rsidR="00297C46">
        <w:rPr>
          <w:lang w:bidi="ar-SA"/>
        </w:rPr>
        <w:t>evel of Intake (UL), defined as</w:t>
      </w:r>
      <w:r w:rsidR="00297C46" w:rsidRPr="00297C46">
        <w:t xml:space="preserve"> </w:t>
      </w:r>
      <w:r w:rsidR="00297C46" w:rsidRPr="00297C46">
        <w:rPr>
          <w:lang w:bidi="ar-SA"/>
        </w:rPr>
        <w:t>the highest average daily nutrient intake level likely to pose no adverse health effects</w:t>
      </w:r>
      <w:r w:rsidR="00297C46">
        <w:rPr>
          <w:lang w:bidi="ar-SA"/>
        </w:rPr>
        <w:t>,</w:t>
      </w:r>
      <w:r w:rsidR="00297C46" w:rsidRPr="00297C46">
        <w:rPr>
          <w:lang w:bidi="ar-SA"/>
        </w:rPr>
        <w:t xml:space="preserve"> </w:t>
      </w:r>
      <w:r w:rsidR="00297C46">
        <w:rPr>
          <w:lang w:bidi="ar-SA"/>
        </w:rPr>
        <w:t>has been established for n-3 LC-PUFA.</w:t>
      </w:r>
      <w:r w:rsidR="00297C46" w:rsidRPr="00297C46">
        <w:rPr>
          <w:lang w:bidi="ar-SA"/>
        </w:rPr>
        <w:t xml:space="preserve"> </w:t>
      </w:r>
      <w:r w:rsidR="00297C46">
        <w:rPr>
          <w:lang w:bidi="ar-SA"/>
        </w:rPr>
        <w:t xml:space="preserve">The UL, </w:t>
      </w:r>
      <w:r w:rsidR="00297C46" w:rsidRPr="00297C46">
        <w:rPr>
          <w:lang w:bidi="ar-SA"/>
        </w:rPr>
        <w:t>defined as th</w:t>
      </w:r>
      <w:r w:rsidR="00297C46">
        <w:rPr>
          <w:lang w:bidi="ar-SA"/>
        </w:rPr>
        <w:t>e sum of EPA, DPA and DHA, is 3 </w:t>
      </w:r>
      <w:r w:rsidR="00297C46" w:rsidRPr="00297C46">
        <w:rPr>
          <w:lang w:bidi="ar-SA"/>
        </w:rPr>
        <w:t>g/day for children, adolescents and adults</w:t>
      </w:r>
      <w:r w:rsidR="00297C46">
        <w:rPr>
          <w:lang w:bidi="ar-SA"/>
        </w:rPr>
        <w:t>.</w:t>
      </w:r>
    </w:p>
    <w:p w14:paraId="522B8832" w14:textId="0605AE99" w:rsidR="00370BAB" w:rsidRDefault="00370BAB" w:rsidP="008733DF">
      <w:pPr>
        <w:spacing w:after="240"/>
        <w:rPr>
          <w:lang w:bidi="ar-SA"/>
        </w:rPr>
      </w:pPr>
      <w:r>
        <w:rPr>
          <w:lang w:bidi="ar-SA"/>
        </w:rPr>
        <w:t xml:space="preserve">As the oil from </w:t>
      </w:r>
      <w:r w:rsidR="002F36D0">
        <w:rPr>
          <w:lang w:bidi="ar-SA"/>
        </w:rPr>
        <w:t>canola line LBFLFK</w:t>
      </w:r>
      <w:r>
        <w:rPr>
          <w:lang w:bidi="ar-SA"/>
        </w:rPr>
        <w:t xml:space="preserve"> will be available for human consumption, FSANZ has </w:t>
      </w:r>
      <w:r w:rsidR="00AC6564">
        <w:rPr>
          <w:lang w:bidi="ar-SA"/>
        </w:rPr>
        <w:t xml:space="preserve">conducted a risk assessment to identify </w:t>
      </w:r>
      <w:r>
        <w:rPr>
          <w:lang w:bidi="ar-SA"/>
        </w:rPr>
        <w:t xml:space="preserve">whether any adverse </w:t>
      </w:r>
      <w:r w:rsidR="00AC6564">
        <w:rPr>
          <w:lang w:bidi="ar-SA"/>
        </w:rPr>
        <w:t xml:space="preserve">health </w:t>
      </w:r>
      <w:r w:rsidR="000F5CAA">
        <w:rPr>
          <w:lang w:bidi="ar-SA"/>
        </w:rPr>
        <w:t xml:space="preserve">effects can be expected from a </w:t>
      </w:r>
      <w:r w:rsidR="00444A1C">
        <w:rPr>
          <w:lang w:bidi="ar-SA"/>
        </w:rPr>
        <w:t xml:space="preserve">potential </w:t>
      </w:r>
      <w:r>
        <w:rPr>
          <w:lang w:bidi="ar-SA"/>
        </w:rPr>
        <w:t xml:space="preserve">increase in </w:t>
      </w:r>
      <w:r w:rsidR="00444A1C">
        <w:rPr>
          <w:lang w:bidi="ar-SA"/>
        </w:rPr>
        <w:t xml:space="preserve">the </w:t>
      </w:r>
      <w:r>
        <w:rPr>
          <w:lang w:bidi="ar-SA"/>
        </w:rPr>
        <w:t xml:space="preserve">dietary intake of </w:t>
      </w:r>
      <w:r w:rsidR="00AB770F" w:rsidRPr="00AB770F">
        <w:rPr>
          <w:lang w:bidi="ar-SA"/>
        </w:rPr>
        <w:t>EPA, DPA and DHA</w:t>
      </w:r>
      <w:r>
        <w:rPr>
          <w:lang w:bidi="ar-SA"/>
        </w:rPr>
        <w:t>.</w:t>
      </w:r>
      <w:r w:rsidR="00193FA6" w:rsidRPr="00193FA6">
        <w:rPr>
          <w:lang w:bidi="ar-SA"/>
        </w:rPr>
        <w:t xml:space="preserve"> </w:t>
      </w:r>
      <w:r w:rsidR="00193FA6" w:rsidRPr="006A367B">
        <w:rPr>
          <w:lang w:bidi="ar-SA"/>
        </w:rPr>
        <w:t xml:space="preserve">The </w:t>
      </w:r>
      <w:r w:rsidR="00193FA6">
        <w:rPr>
          <w:lang w:bidi="ar-SA"/>
        </w:rPr>
        <w:t>risk assessment does not consider</w:t>
      </w:r>
      <w:r w:rsidR="00193FA6" w:rsidRPr="006A367B">
        <w:rPr>
          <w:lang w:bidi="ar-SA"/>
        </w:rPr>
        <w:t xml:space="preserve"> </w:t>
      </w:r>
      <w:r w:rsidR="00193FA6">
        <w:rPr>
          <w:lang w:bidi="ar-SA"/>
        </w:rPr>
        <w:t>other nutrients (</w:t>
      </w:r>
      <w:r w:rsidR="00193FA6" w:rsidRPr="00193FA6">
        <w:rPr>
          <w:lang w:bidi="ar-SA"/>
        </w:rPr>
        <w:t>protein, carbohydrate, fibre, vitamins, minerals, phytosterols</w:t>
      </w:r>
      <w:r w:rsidR="00193FA6">
        <w:rPr>
          <w:lang w:bidi="ar-SA"/>
        </w:rPr>
        <w:t>)</w:t>
      </w:r>
      <w:r w:rsidR="00193FA6" w:rsidRPr="00193FA6">
        <w:rPr>
          <w:lang w:bidi="ar-SA"/>
        </w:rPr>
        <w:t xml:space="preserve"> </w:t>
      </w:r>
      <w:r w:rsidR="00193FA6">
        <w:rPr>
          <w:lang w:bidi="ar-SA"/>
        </w:rPr>
        <w:t>or anti</w:t>
      </w:r>
      <w:r w:rsidR="00193FA6" w:rsidRPr="00193FA6">
        <w:rPr>
          <w:lang w:bidi="ar-SA"/>
        </w:rPr>
        <w:t xml:space="preserve">-nutritional factors </w:t>
      </w:r>
      <w:r w:rsidR="00193FA6">
        <w:rPr>
          <w:lang w:bidi="ar-SA"/>
        </w:rPr>
        <w:t>(</w:t>
      </w:r>
      <w:r w:rsidR="00193FA6" w:rsidRPr="006A367B">
        <w:rPr>
          <w:lang w:bidi="ar-SA"/>
        </w:rPr>
        <w:t>phytic acid, phenolics, glucosinolates</w:t>
      </w:r>
      <w:r w:rsidR="00193FA6">
        <w:rPr>
          <w:lang w:bidi="ar-SA"/>
        </w:rPr>
        <w:t xml:space="preserve">) </w:t>
      </w:r>
      <w:r w:rsidR="00193FA6" w:rsidRPr="006A367B">
        <w:rPr>
          <w:lang w:bidi="ar-SA"/>
        </w:rPr>
        <w:t xml:space="preserve">because </w:t>
      </w:r>
      <w:r w:rsidR="00241541">
        <w:rPr>
          <w:lang w:bidi="ar-SA"/>
        </w:rPr>
        <w:t xml:space="preserve">the </w:t>
      </w:r>
      <w:r w:rsidR="00193FA6" w:rsidRPr="006A367B">
        <w:rPr>
          <w:lang w:bidi="ar-SA"/>
        </w:rPr>
        <w:t xml:space="preserve">levels </w:t>
      </w:r>
      <w:r w:rsidR="00241541">
        <w:rPr>
          <w:lang w:bidi="ar-SA"/>
        </w:rPr>
        <w:t xml:space="preserve">of these substances </w:t>
      </w:r>
      <w:r w:rsidR="00193FA6" w:rsidRPr="006A367B">
        <w:rPr>
          <w:lang w:bidi="ar-SA"/>
        </w:rPr>
        <w:t xml:space="preserve">in </w:t>
      </w:r>
      <w:r w:rsidR="002F36D0">
        <w:rPr>
          <w:lang w:bidi="ar-SA"/>
        </w:rPr>
        <w:t>LBFLFK</w:t>
      </w:r>
      <w:r w:rsidR="00193FA6">
        <w:rPr>
          <w:lang w:bidi="ar-SA"/>
        </w:rPr>
        <w:t xml:space="preserve"> are</w:t>
      </w:r>
      <w:r w:rsidR="00193FA6" w:rsidRPr="006A367B">
        <w:rPr>
          <w:lang w:bidi="ar-SA"/>
        </w:rPr>
        <w:t xml:space="preserve"> similar to those in conventional canola</w:t>
      </w:r>
      <w:r w:rsidR="00193FA6">
        <w:rPr>
          <w:lang w:bidi="ar-SA"/>
        </w:rPr>
        <w:t xml:space="preserve"> lines</w:t>
      </w:r>
      <w:r w:rsidR="00193FA6" w:rsidRPr="006A367B">
        <w:rPr>
          <w:lang w:bidi="ar-SA"/>
        </w:rPr>
        <w:t xml:space="preserve"> (</w:t>
      </w:r>
      <w:r w:rsidR="00193FA6">
        <w:rPr>
          <w:lang w:bidi="ar-SA"/>
        </w:rPr>
        <w:t xml:space="preserve">see </w:t>
      </w:r>
      <w:r w:rsidR="00193FA6" w:rsidRPr="006A367B">
        <w:rPr>
          <w:lang w:bidi="ar-SA"/>
        </w:rPr>
        <w:t>Supporting Document 1).</w:t>
      </w:r>
    </w:p>
    <w:p w14:paraId="694A6354" w14:textId="109AF983" w:rsidR="00C15B34" w:rsidRDefault="000F5CAA" w:rsidP="008733DF">
      <w:pPr>
        <w:spacing w:after="240"/>
        <w:rPr>
          <w:lang w:bidi="ar-SA"/>
        </w:rPr>
      </w:pPr>
      <w:r>
        <w:rPr>
          <w:lang w:bidi="ar-SA"/>
        </w:rPr>
        <w:t>Th</w:t>
      </w:r>
      <w:r w:rsidR="009706C9">
        <w:rPr>
          <w:lang w:bidi="ar-SA"/>
        </w:rPr>
        <w:t>is</w:t>
      </w:r>
      <w:r w:rsidR="0051301F">
        <w:rPr>
          <w:lang w:bidi="ar-SA"/>
        </w:rPr>
        <w:t xml:space="preserve"> risk assessment comprises</w:t>
      </w:r>
      <w:r w:rsidR="00370BAB">
        <w:rPr>
          <w:lang w:bidi="ar-SA"/>
        </w:rPr>
        <w:t xml:space="preserve"> a hazard assessment and a dietary intake assessment. The hazard assessment </w:t>
      </w:r>
      <w:r w:rsidR="00AB770F">
        <w:rPr>
          <w:lang w:bidi="ar-SA"/>
        </w:rPr>
        <w:t>includes informatio</w:t>
      </w:r>
      <w:r w:rsidR="00333FA5">
        <w:rPr>
          <w:lang w:bidi="ar-SA"/>
        </w:rPr>
        <w:t>n on the UL</w:t>
      </w:r>
      <w:r w:rsidR="00AB770F">
        <w:rPr>
          <w:lang w:bidi="ar-SA"/>
        </w:rPr>
        <w:t xml:space="preserve"> for </w:t>
      </w:r>
      <w:r>
        <w:rPr>
          <w:lang w:bidi="ar-SA"/>
        </w:rPr>
        <w:t>n-3 LC-PUFA</w:t>
      </w:r>
      <w:r w:rsidR="00C15B34">
        <w:rPr>
          <w:lang w:bidi="ar-SA"/>
        </w:rPr>
        <w:t>,</w:t>
      </w:r>
      <w:r w:rsidR="00333FA5">
        <w:rPr>
          <w:lang w:bidi="ar-SA"/>
        </w:rPr>
        <w:t xml:space="preserve"> </w:t>
      </w:r>
      <w:r w:rsidR="00FA4970">
        <w:rPr>
          <w:lang w:bidi="ar-SA"/>
        </w:rPr>
        <w:t>and</w:t>
      </w:r>
      <w:r w:rsidR="00CE7B3B">
        <w:rPr>
          <w:lang w:bidi="ar-SA"/>
        </w:rPr>
        <w:t xml:space="preserve"> </w:t>
      </w:r>
      <w:r w:rsidR="00E7762E">
        <w:rPr>
          <w:lang w:bidi="ar-SA"/>
        </w:rPr>
        <w:t xml:space="preserve">considers </w:t>
      </w:r>
      <w:r w:rsidR="00CE7B3B">
        <w:rPr>
          <w:lang w:bidi="ar-SA"/>
        </w:rPr>
        <w:t>systematic review</w:t>
      </w:r>
      <w:r w:rsidR="00C23105">
        <w:rPr>
          <w:lang w:bidi="ar-SA"/>
        </w:rPr>
        <w:t>s</w:t>
      </w:r>
      <w:r w:rsidR="0051301F">
        <w:rPr>
          <w:lang w:bidi="ar-SA"/>
        </w:rPr>
        <w:t xml:space="preserve"> </w:t>
      </w:r>
      <w:r w:rsidR="00C23105">
        <w:rPr>
          <w:lang w:bidi="ar-SA"/>
        </w:rPr>
        <w:t>which include detailed analyse</w:t>
      </w:r>
      <w:r w:rsidR="000860D7">
        <w:rPr>
          <w:lang w:bidi="ar-SA"/>
        </w:rPr>
        <w:t xml:space="preserve">s of </w:t>
      </w:r>
      <w:r w:rsidR="00370BAB">
        <w:rPr>
          <w:lang w:bidi="ar-SA"/>
        </w:rPr>
        <w:t xml:space="preserve">potential adverse effects associated with </w:t>
      </w:r>
      <w:r w:rsidR="00CE7B3B">
        <w:rPr>
          <w:lang w:bidi="ar-SA"/>
        </w:rPr>
        <w:t xml:space="preserve">increased intake of </w:t>
      </w:r>
      <w:r w:rsidR="00CE7B3B" w:rsidRPr="00CE7B3B">
        <w:rPr>
          <w:lang w:bidi="ar-SA"/>
        </w:rPr>
        <w:t>n-3 LC-PUFA</w:t>
      </w:r>
      <w:r w:rsidR="00C15B34">
        <w:rPr>
          <w:lang w:bidi="ar-SA"/>
        </w:rPr>
        <w:t xml:space="preserve"> in </w:t>
      </w:r>
      <w:r w:rsidR="00FA4970">
        <w:rPr>
          <w:lang w:bidi="ar-SA"/>
        </w:rPr>
        <w:t xml:space="preserve">a large number of </w:t>
      </w:r>
      <w:r w:rsidR="00C15B34">
        <w:rPr>
          <w:lang w:bidi="ar-SA"/>
        </w:rPr>
        <w:t xml:space="preserve">trials </w:t>
      </w:r>
      <w:r w:rsidR="00FA4970">
        <w:rPr>
          <w:lang w:bidi="ar-SA"/>
        </w:rPr>
        <w:t xml:space="preserve">in </w:t>
      </w:r>
      <w:r w:rsidR="00C15B34">
        <w:rPr>
          <w:lang w:bidi="ar-SA"/>
        </w:rPr>
        <w:t>adults</w:t>
      </w:r>
      <w:r w:rsidR="00AB770F">
        <w:rPr>
          <w:lang w:bidi="ar-SA"/>
        </w:rPr>
        <w:t>.</w:t>
      </w:r>
      <w:r w:rsidR="00370BAB">
        <w:rPr>
          <w:lang w:bidi="ar-SA"/>
        </w:rPr>
        <w:t xml:space="preserve"> </w:t>
      </w:r>
      <w:r w:rsidR="00FA4970">
        <w:rPr>
          <w:lang w:bidi="ar-SA"/>
        </w:rPr>
        <w:t xml:space="preserve">Trials of </w:t>
      </w:r>
      <w:r w:rsidR="00FA4970" w:rsidRPr="00FA4970">
        <w:rPr>
          <w:lang w:bidi="ar-SA"/>
        </w:rPr>
        <w:t xml:space="preserve">n-3 LC-PUFA </w:t>
      </w:r>
      <w:r w:rsidR="00FA4970">
        <w:rPr>
          <w:lang w:bidi="ar-SA"/>
        </w:rPr>
        <w:t xml:space="preserve">in children are also considered. </w:t>
      </w:r>
    </w:p>
    <w:p w14:paraId="57AD6501" w14:textId="5509A21F" w:rsidR="00370BAB" w:rsidRDefault="00370BAB" w:rsidP="008733DF">
      <w:pPr>
        <w:spacing w:after="240"/>
        <w:rPr>
          <w:lang w:bidi="ar-SA"/>
        </w:rPr>
      </w:pPr>
      <w:r>
        <w:rPr>
          <w:lang w:bidi="ar-SA"/>
        </w:rPr>
        <w:t xml:space="preserve">The dietary intake assessment considers the usual intake of n-3 LC-PUFA (sum of EPA, DPA and DHA) from the current food supply (baseline intake) and two scenarios to account for potential additional intake of EPA, DPA and DHA due to the introduction to the food supply of oil from </w:t>
      </w:r>
      <w:r w:rsidR="002F36D0">
        <w:rPr>
          <w:lang w:bidi="ar-SA"/>
        </w:rPr>
        <w:t>canola line LBFLFK</w:t>
      </w:r>
      <w:r>
        <w:rPr>
          <w:lang w:bidi="ar-SA"/>
        </w:rPr>
        <w:t>.</w:t>
      </w:r>
    </w:p>
    <w:p w14:paraId="2A02FAB9" w14:textId="77777777" w:rsidR="00180E02" w:rsidRDefault="00180E02" w:rsidP="00082FA1">
      <w:pPr>
        <w:pStyle w:val="Heading1"/>
      </w:pPr>
      <w:bookmarkStart w:id="9" w:name="_Toc102573418"/>
      <w:r>
        <w:t>2</w:t>
      </w:r>
      <w:r w:rsidR="00512B28" w:rsidRPr="00CB626D">
        <w:t xml:space="preserve"> </w:t>
      </w:r>
      <w:r w:rsidR="00512B28" w:rsidRPr="00CB626D">
        <w:tab/>
      </w:r>
      <w:bookmarkEnd w:id="4"/>
      <w:bookmarkEnd w:id="5"/>
      <w:bookmarkEnd w:id="6"/>
      <w:bookmarkEnd w:id="7"/>
      <w:bookmarkEnd w:id="8"/>
      <w:r>
        <w:t>Nutrition hazard assessment</w:t>
      </w:r>
      <w:bookmarkEnd w:id="9"/>
    </w:p>
    <w:p w14:paraId="519BE659" w14:textId="64D194CC" w:rsidR="00973BB8" w:rsidRDefault="00C45097" w:rsidP="00B36D48">
      <w:pPr>
        <w:rPr>
          <w:lang w:bidi="ar-SA"/>
        </w:rPr>
      </w:pPr>
      <w:r>
        <w:rPr>
          <w:lang w:bidi="ar-SA"/>
        </w:rPr>
        <w:t xml:space="preserve">The </w:t>
      </w:r>
      <w:r w:rsidR="00E87F1E">
        <w:rPr>
          <w:lang w:bidi="ar-SA"/>
        </w:rPr>
        <w:t>nutrition</w:t>
      </w:r>
      <w:r>
        <w:rPr>
          <w:lang w:bidi="ar-SA"/>
        </w:rPr>
        <w:t xml:space="preserve"> hazard assessment</w:t>
      </w:r>
      <w:r w:rsidR="002418C2">
        <w:rPr>
          <w:lang w:bidi="ar-SA"/>
        </w:rPr>
        <w:t xml:space="preserve"> includes</w:t>
      </w:r>
      <w:r w:rsidR="00973BB8">
        <w:rPr>
          <w:lang w:bidi="ar-SA"/>
        </w:rPr>
        <w:t>:</w:t>
      </w:r>
    </w:p>
    <w:p w14:paraId="7C5B4BA5" w14:textId="77777777" w:rsidR="00973BB8" w:rsidRPr="0009644D" w:rsidRDefault="00973BB8" w:rsidP="00B36D48">
      <w:pPr>
        <w:rPr>
          <w:sz w:val="12"/>
          <w:szCs w:val="12"/>
          <w:lang w:bidi="ar-SA"/>
        </w:rPr>
      </w:pPr>
    </w:p>
    <w:p w14:paraId="38A23B4A" w14:textId="3206335F" w:rsidR="0009644D" w:rsidRPr="008733DF" w:rsidRDefault="00E7762E" w:rsidP="008733DF">
      <w:pPr>
        <w:pStyle w:val="ListParagraph"/>
        <w:numPr>
          <w:ilvl w:val="0"/>
          <w:numId w:val="4"/>
        </w:numPr>
        <w:rPr>
          <w:lang w:bidi="ar-SA"/>
        </w:rPr>
      </w:pPr>
      <w:r>
        <w:rPr>
          <w:lang w:bidi="ar-SA"/>
        </w:rPr>
        <w:t>i</w:t>
      </w:r>
      <w:r w:rsidR="00973BB8">
        <w:rPr>
          <w:lang w:bidi="ar-SA"/>
        </w:rPr>
        <w:t xml:space="preserve">nformation on </w:t>
      </w:r>
      <w:r w:rsidR="004B695F">
        <w:rPr>
          <w:lang w:bidi="ar-SA"/>
        </w:rPr>
        <w:t>t</w:t>
      </w:r>
      <w:r w:rsidR="004B695F" w:rsidRPr="004B695F">
        <w:rPr>
          <w:lang w:bidi="ar-SA"/>
        </w:rPr>
        <w:t xml:space="preserve">he </w:t>
      </w:r>
      <w:r w:rsidR="004B695F" w:rsidRPr="000047CF">
        <w:rPr>
          <w:lang w:bidi="ar-SA"/>
        </w:rPr>
        <w:t>fatty acid</w:t>
      </w:r>
      <w:r w:rsidR="00F906AA" w:rsidRPr="000047CF">
        <w:rPr>
          <w:lang w:bidi="ar-SA"/>
        </w:rPr>
        <w:t xml:space="preserve"> (FA)</w:t>
      </w:r>
      <w:r w:rsidR="004B695F" w:rsidRPr="004B695F">
        <w:rPr>
          <w:lang w:bidi="ar-SA"/>
        </w:rPr>
        <w:t xml:space="preserve"> composition of refined, bleached, deodorised (RBD) oil (i.e. “food-grade” oil) from </w:t>
      </w:r>
      <w:r w:rsidR="002F36D0">
        <w:rPr>
          <w:lang w:bidi="ar-SA"/>
        </w:rPr>
        <w:t>canola line LBFLFK</w:t>
      </w:r>
      <w:r w:rsidR="00973BB8">
        <w:rPr>
          <w:lang w:bidi="ar-SA"/>
        </w:rPr>
        <w:t>,</w:t>
      </w:r>
      <w:r w:rsidR="004B695F">
        <w:rPr>
          <w:lang w:bidi="ar-SA"/>
        </w:rPr>
        <w:t xml:space="preserve"> and a comparison with</w:t>
      </w:r>
      <w:r w:rsidR="004B695F" w:rsidRPr="004B695F">
        <w:rPr>
          <w:lang w:bidi="ar-SA"/>
        </w:rPr>
        <w:t xml:space="preserve"> oil from four conventional canola lines and four </w:t>
      </w:r>
      <w:r w:rsidR="0009644D">
        <w:rPr>
          <w:lang w:bidi="ar-SA"/>
        </w:rPr>
        <w:t>fish oils;</w:t>
      </w:r>
    </w:p>
    <w:p w14:paraId="75173C76" w14:textId="01CED417" w:rsidR="0009644D" w:rsidRPr="008733DF" w:rsidRDefault="00E7762E" w:rsidP="008733DF">
      <w:pPr>
        <w:pStyle w:val="ListParagraph"/>
        <w:numPr>
          <w:ilvl w:val="0"/>
          <w:numId w:val="4"/>
        </w:numPr>
        <w:rPr>
          <w:lang w:bidi="ar-SA"/>
        </w:rPr>
      </w:pPr>
      <w:r>
        <w:rPr>
          <w:lang w:bidi="ar-SA"/>
        </w:rPr>
        <w:t>i</w:t>
      </w:r>
      <w:r w:rsidR="0009644D" w:rsidRPr="0009644D">
        <w:rPr>
          <w:lang w:bidi="ar-SA"/>
        </w:rPr>
        <w:t xml:space="preserve">nformation on the </w:t>
      </w:r>
      <w:r w:rsidR="0009644D">
        <w:rPr>
          <w:lang w:bidi="ar-SA"/>
        </w:rPr>
        <w:t>b</w:t>
      </w:r>
      <w:r w:rsidR="0009644D" w:rsidRPr="0009644D">
        <w:rPr>
          <w:lang w:bidi="ar-SA"/>
        </w:rPr>
        <w:t>iochemistry, bioavailability and physiology of n-3 LC-PUFA</w:t>
      </w:r>
      <w:r w:rsidR="0009644D">
        <w:rPr>
          <w:lang w:bidi="ar-SA"/>
        </w:rPr>
        <w:t>;</w:t>
      </w:r>
    </w:p>
    <w:p w14:paraId="22DB5D59" w14:textId="6317C69A" w:rsidR="004B695F" w:rsidRPr="008733DF" w:rsidRDefault="00E7762E" w:rsidP="0009644D">
      <w:pPr>
        <w:pStyle w:val="ListParagraph"/>
        <w:numPr>
          <w:ilvl w:val="0"/>
          <w:numId w:val="4"/>
        </w:numPr>
        <w:rPr>
          <w:lang w:bidi="ar-SA"/>
        </w:rPr>
      </w:pPr>
      <w:r>
        <w:rPr>
          <w:lang w:bidi="ar-SA"/>
        </w:rPr>
        <w:t>i</w:t>
      </w:r>
      <w:r w:rsidR="0009644D" w:rsidRPr="0009644D">
        <w:rPr>
          <w:lang w:bidi="ar-SA"/>
        </w:rPr>
        <w:t xml:space="preserve">nformation on the </w:t>
      </w:r>
      <w:r w:rsidR="0009644D">
        <w:rPr>
          <w:lang w:bidi="ar-SA"/>
        </w:rPr>
        <w:t>derivation of the upper level of intake</w:t>
      </w:r>
      <w:r w:rsidR="0009644D" w:rsidRPr="0009644D">
        <w:rPr>
          <w:lang w:bidi="ar-SA"/>
        </w:rPr>
        <w:t xml:space="preserve"> for n-3 LC-PUFA</w:t>
      </w:r>
      <w:r w:rsidR="0009644D">
        <w:rPr>
          <w:lang w:bidi="ar-SA"/>
        </w:rPr>
        <w:t>;</w:t>
      </w:r>
    </w:p>
    <w:p w14:paraId="48859ED2" w14:textId="53FB2160" w:rsidR="00EC5D6A" w:rsidRPr="008733DF" w:rsidRDefault="00E7762E" w:rsidP="008733DF">
      <w:pPr>
        <w:pStyle w:val="ListParagraph"/>
        <w:numPr>
          <w:ilvl w:val="0"/>
          <w:numId w:val="4"/>
        </w:numPr>
        <w:rPr>
          <w:lang w:bidi="ar-SA"/>
        </w:rPr>
      </w:pPr>
      <w:r>
        <w:rPr>
          <w:lang w:bidi="ar-SA"/>
        </w:rPr>
        <w:t>c</w:t>
      </w:r>
      <w:r w:rsidR="00973BB8">
        <w:rPr>
          <w:lang w:bidi="ar-SA"/>
        </w:rPr>
        <w:t>onsideration</w:t>
      </w:r>
      <w:r w:rsidR="002418C2">
        <w:rPr>
          <w:lang w:bidi="ar-SA"/>
        </w:rPr>
        <w:t xml:space="preserve"> of</w:t>
      </w:r>
      <w:r w:rsidR="00C45097">
        <w:rPr>
          <w:lang w:bidi="ar-SA"/>
        </w:rPr>
        <w:t xml:space="preserve"> </w:t>
      </w:r>
      <w:r w:rsidR="00CC16E0">
        <w:rPr>
          <w:lang w:bidi="ar-SA"/>
        </w:rPr>
        <w:t>a recent systematic review</w:t>
      </w:r>
      <w:r w:rsidR="00C45097">
        <w:rPr>
          <w:lang w:bidi="ar-SA"/>
        </w:rPr>
        <w:t xml:space="preserve"> </w:t>
      </w:r>
      <w:r w:rsidR="00B36D48">
        <w:rPr>
          <w:lang w:bidi="ar-SA"/>
        </w:rPr>
        <w:t xml:space="preserve">of </w:t>
      </w:r>
      <w:r w:rsidR="00EB7D57">
        <w:rPr>
          <w:lang w:bidi="ar-SA"/>
        </w:rPr>
        <w:t>randomised controlled trials investigating increased</w:t>
      </w:r>
      <w:r w:rsidR="00926058" w:rsidRPr="00926058">
        <w:t xml:space="preserve"> </w:t>
      </w:r>
      <w:r w:rsidR="00926058" w:rsidRPr="00926058">
        <w:rPr>
          <w:lang w:bidi="ar-SA"/>
        </w:rPr>
        <w:t>n-3 LC-PUFA</w:t>
      </w:r>
      <w:r w:rsidR="00926058">
        <w:rPr>
          <w:lang w:bidi="ar-SA"/>
        </w:rPr>
        <w:t xml:space="preserve"> </w:t>
      </w:r>
      <w:r w:rsidR="00EB7D57">
        <w:rPr>
          <w:lang w:bidi="ar-SA"/>
        </w:rPr>
        <w:t>intake in adults</w:t>
      </w:r>
      <w:r w:rsidR="00A87BF7">
        <w:rPr>
          <w:lang w:bidi="ar-SA"/>
        </w:rPr>
        <w:t>.</w:t>
      </w:r>
      <w:r w:rsidR="00CA50E4">
        <w:rPr>
          <w:lang w:bidi="ar-SA"/>
        </w:rPr>
        <w:t xml:space="preserve"> This systematic review includes</w:t>
      </w:r>
      <w:r w:rsidR="00A87BF7">
        <w:rPr>
          <w:lang w:bidi="ar-SA"/>
        </w:rPr>
        <w:t xml:space="preserve"> </w:t>
      </w:r>
      <w:r w:rsidR="00AD5437">
        <w:rPr>
          <w:lang w:bidi="ar-SA"/>
        </w:rPr>
        <w:t xml:space="preserve">meta-analyses </w:t>
      </w:r>
      <w:r w:rsidR="00A87BF7">
        <w:rPr>
          <w:lang w:bidi="ar-SA"/>
        </w:rPr>
        <w:t>of adverse effects reported in these trials</w:t>
      </w:r>
      <w:r w:rsidR="0009644D">
        <w:rPr>
          <w:lang w:bidi="ar-SA"/>
        </w:rPr>
        <w:t xml:space="preserve">, and </w:t>
      </w:r>
      <w:r w:rsidR="00CC16E0">
        <w:rPr>
          <w:lang w:bidi="ar-SA"/>
        </w:rPr>
        <w:t xml:space="preserve">was </w:t>
      </w:r>
      <w:r w:rsidR="00A63F0A">
        <w:rPr>
          <w:lang w:bidi="ar-SA"/>
        </w:rPr>
        <w:t xml:space="preserve">reviewed by the </w:t>
      </w:r>
      <w:r w:rsidR="0009644D">
        <w:rPr>
          <w:lang w:bidi="ar-SA"/>
        </w:rPr>
        <w:t xml:space="preserve">World Health Organization (WHO) </w:t>
      </w:r>
      <w:r w:rsidR="00A63F0A">
        <w:rPr>
          <w:lang w:bidi="ar-SA"/>
        </w:rPr>
        <w:t>Nutrition Guidance Expert A</w:t>
      </w:r>
      <w:r w:rsidR="0009644D">
        <w:rPr>
          <w:lang w:bidi="ar-SA"/>
        </w:rPr>
        <w:t>dvisory Group (NUGAG);</w:t>
      </w:r>
    </w:p>
    <w:p w14:paraId="31FE5A23" w14:textId="539F9025" w:rsidR="00B47A05" w:rsidRPr="008733DF" w:rsidRDefault="00E7762E" w:rsidP="008733DF">
      <w:pPr>
        <w:pStyle w:val="ListParagraph"/>
        <w:numPr>
          <w:ilvl w:val="0"/>
          <w:numId w:val="4"/>
        </w:numPr>
        <w:rPr>
          <w:lang w:bidi="ar-SA"/>
        </w:rPr>
      </w:pPr>
      <w:r>
        <w:rPr>
          <w:lang w:bidi="ar-SA"/>
        </w:rPr>
        <w:t>c</w:t>
      </w:r>
      <w:r w:rsidR="00EC5D6A" w:rsidRPr="00EC5D6A">
        <w:rPr>
          <w:lang w:bidi="ar-SA"/>
        </w:rPr>
        <w:t xml:space="preserve">onsideration of a recent systematic review of randomised controlled trials investigating increased n-3 LC-PUFA intake in </w:t>
      </w:r>
      <w:r w:rsidR="006B4D04">
        <w:rPr>
          <w:lang w:bidi="ar-SA"/>
        </w:rPr>
        <w:t>pregnancy</w:t>
      </w:r>
      <w:r w:rsidR="009A2D18">
        <w:rPr>
          <w:lang w:bidi="ar-SA"/>
        </w:rPr>
        <w:t>;</w:t>
      </w:r>
    </w:p>
    <w:p w14:paraId="48187870" w14:textId="7109F27F" w:rsidR="00B47A05" w:rsidRDefault="00415002" w:rsidP="00A145CE">
      <w:pPr>
        <w:pStyle w:val="ListParagraph"/>
        <w:numPr>
          <w:ilvl w:val="0"/>
          <w:numId w:val="4"/>
        </w:numPr>
        <w:rPr>
          <w:lang w:bidi="ar-SA"/>
        </w:rPr>
      </w:pPr>
      <w:r>
        <w:rPr>
          <w:lang w:bidi="ar-SA"/>
        </w:rPr>
        <w:t>c</w:t>
      </w:r>
      <w:r w:rsidR="00C45E36">
        <w:rPr>
          <w:lang w:bidi="ar-SA"/>
        </w:rPr>
        <w:t xml:space="preserve">onsideration of adverse effects reported in </w:t>
      </w:r>
      <w:r w:rsidR="0009644D">
        <w:rPr>
          <w:lang w:bidi="ar-SA"/>
        </w:rPr>
        <w:t>trials with</w:t>
      </w:r>
      <w:r w:rsidR="00B47A05">
        <w:rPr>
          <w:lang w:bidi="ar-SA"/>
        </w:rPr>
        <w:t xml:space="preserve"> children</w:t>
      </w:r>
      <w:r w:rsidR="00C45E36">
        <w:rPr>
          <w:lang w:bidi="ar-SA"/>
        </w:rPr>
        <w:t>.</w:t>
      </w:r>
    </w:p>
    <w:p w14:paraId="0F45497F" w14:textId="7EF752D2" w:rsidR="00776ED4" w:rsidRPr="00914A73" w:rsidRDefault="00776ED4" w:rsidP="008241AA">
      <w:pPr>
        <w:pStyle w:val="Heading2"/>
        <w:rPr>
          <w:color w:val="000000" w:themeColor="text1"/>
        </w:rPr>
      </w:pPr>
      <w:bookmarkStart w:id="10" w:name="_Toc102573419"/>
      <w:r w:rsidRPr="00CD5FA7">
        <w:lastRenderedPageBreak/>
        <w:t>2</w:t>
      </w:r>
      <w:r w:rsidR="000B17F8">
        <w:t>.1</w:t>
      </w:r>
      <w:r w:rsidRPr="00CD5FA7">
        <w:tab/>
      </w:r>
      <w:r>
        <w:t xml:space="preserve">Fatty acid composition of </w:t>
      </w:r>
      <w:r w:rsidR="002F36D0">
        <w:t>LBFLFK</w:t>
      </w:r>
      <w:r w:rsidRPr="00776ED4">
        <w:t xml:space="preserve"> </w:t>
      </w:r>
      <w:r>
        <w:t>oil</w:t>
      </w:r>
      <w:bookmarkEnd w:id="10"/>
    </w:p>
    <w:p w14:paraId="280DAD71" w14:textId="1D375B1F" w:rsidR="00255CDA" w:rsidRDefault="00776ED4" w:rsidP="008733DF">
      <w:pPr>
        <w:spacing w:after="240"/>
        <w:rPr>
          <w:lang w:bidi="ar-SA"/>
        </w:rPr>
      </w:pPr>
      <w:r>
        <w:rPr>
          <w:lang w:bidi="ar-SA"/>
        </w:rPr>
        <w:t xml:space="preserve">The </w:t>
      </w:r>
      <w:r w:rsidR="00F906AA">
        <w:rPr>
          <w:lang w:bidi="ar-SA"/>
        </w:rPr>
        <w:t>FA</w:t>
      </w:r>
      <w:r w:rsidRPr="00776ED4">
        <w:rPr>
          <w:lang w:bidi="ar-SA"/>
        </w:rPr>
        <w:t xml:space="preserve"> composition of </w:t>
      </w:r>
      <w:r>
        <w:rPr>
          <w:lang w:bidi="ar-SA"/>
        </w:rPr>
        <w:t>r</w:t>
      </w:r>
      <w:r w:rsidR="00001348">
        <w:rPr>
          <w:lang w:bidi="ar-SA"/>
        </w:rPr>
        <w:t>efined, bleached, de</w:t>
      </w:r>
      <w:r>
        <w:rPr>
          <w:lang w:bidi="ar-SA"/>
        </w:rPr>
        <w:t xml:space="preserve">odorised (RBD) oil </w:t>
      </w:r>
      <w:r w:rsidR="001976A5">
        <w:rPr>
          <w:lang w:bidi="ar-SA"/>
        </w:rPr>
        <w:t xml:space="preserve">(i.e. “food-grade” oil) </w:t>
      </w:r>
      <w:r>
        <w:rPr>
          <w:lang w:bidi="ar-SA"/>
        </w:rPr>
        <w:t xml:space="preserve">from </w:t>
      </w:r>
      <w:r w:rsidR="002F36D0">
        <w:rPr>
          <w:lang w:bidi="ar-SA"/>
        </w:rPr>
        <w:t>LBFLFK</w:t>
      </w:r>
      <w:r>
        <w:rPr>
          <w:lang w:bidi="ar-SA"/>
        </w:rPr>
        <w:t xml:space="preserve"> </w:t>
      </w:r>
      <w:r w:rsidR="00A37B02">
        <w:rPr>
          <w:lang w:bidi="ar-SA"/>
        </w:rPr>
        <w:t>is</w:t>
      </w:r>
      <w:r>
        <w:rPr>
          <w:lang w:bidi="ar-SA"/>
        </w:rPr>
        <w:t xml:space="preserve"> reported by Andre et al. (2019)</w:t>
      </w:r>
      <w:r w:rsidR="00001348">
        <w:rPr>
          <w:lang w:bidi="ar-SA"/>
        </w:rPr>
        <w:t xml:space="preserve">, who also present </w:t>
      </w:r>
      <w:r w:rsidR="00F906AA">
        <w:rPr>
          <w:lang w:bidi="ar-SA"/>
        </w:rPr>
        <w:t>FA</w:t>
      </w:r>
      <w:r w:rsidR="003A4621">
        <w:rPr>
          <w:lang w:bidi="ar-SA"/>
        </w:rPr>
        <w:t xml:space="preserve"> </w:t>
      </w:r>
      <w:r w:rsidR="00001348">
        <w:rPr>
          <w:lang w:bidi="ar-SA"/>
        </w:rPr>
        <w:t>comp</w:t>
      </w:r>
      <w:r w:rsidR="003A4621">
        <w:rPr>
          <w:lang w:bidi="ar-SA"/>
        </w:rPr>
        <w:t>os</w:t>
      </w:r>
      <w:r w:rsidR="00001348">
        <w:rPr>
          <w:lang w:bidi="ar-SA"/>
        </w:rPr>
        <w:t>it</w:t>
      </w:r>
      <w:r w:rsidR="003A4621">
        <w:rPr>
          <w:lang w:bidi="ar-SA"/>
        </w:rPr>
        <w:t>ion</w:t>
      </w:r>
      <w:r w:rsidR="00001348">
        <w:rPr>
          <w:lang w:bidi="ar-SA"/>
        </w:rPr>
        <w:t xml:space="preserve"> data for RBD oil from four conventional canola lines and four different fish oils. The levels of EPA, DPA, DHA, </w:t>
      </w:r>
      <w:r w:rsidR="00A26EDC">
        <w:rPr>
          <w:lang w:bidi="ar-SA"/>
        </w:rPr>
        <w:t xml:space="preserve">and </w:t>
      </w:r>
      <w:r w:rsidR="000667F8">
        <w:rPr>
          <w:lang w:bidi="ar-SA"/>
        </w:rPr>
        <w:t xml:space="preserve">total omega-3 </w:t>
      </w:r>
      <w:r w:rsidR="00F906AA">
        <w:rPr>
          <w:lang w:bidi="ar-SA"/>
        </w:rPr>
        <w:t>FA</w:t>
      </w:r>
      <w:r w:rsidR="00D74A55">
        <w:rPr>
          <w:lang w:bidi="ar-SA"/>
        </w:rPr>
        <w:t>s</w:t>
      </w:r>
      <w:r w:rsidR="00AE7F87">
        <w:rPr>
          <w:lang w:bidi="ar-SA"/>
        </w:rPr>
        <w:t xml:space="preserve">, </w:t>
      </w:r>
      <w:r w:rsidR="00001348">
        <w:rPr>
          <w:lang w:bidi="ar-SA"/>
        </w:rPr>
        <w:t>are shown in Table 1</w:t>
      </w:r>
      <w:r w:rsidR="001976A5">
        <w:rPr>
          <w:lang w:bidi="ar-SA"/>
        </w:rPr>
        <w:t>.</w:t>
      </w:r>
    </w:p>
    <w:p w14:paraId="5C2C056A" w14:textId="36ABE575" w:rsidR="00CB3948" w:rsidRDefault="00255CDA" w:rsidP="008733DF">
      <w:pPr>
        <w:spacing w:after="240"/>
        <w:rPr>
          <w:lang w:bidi="ar-SA"/>
        </w:rPr>
      </w:pPr>
      <w:r>
        <w:rPr>
          <w:lang w:bidi="ar-SA"/>
        </w:rPr>
        <w:t xml:space="preserve">The sum of EPA, DPA and DHA levels, as a percentage of total </w:t>
      </w:r>
      <w:r w:rsidR="00F906AA">
        <w:rPr>
          <w:lang w:bidi="ar-SA"/>
        </w:rPr>
        <w:t>FA</w:t>
      </w:r>
      <w:r>
        <w:rPr>
          <w:lang w:bidi="ar-SA"/>
        </w:rPr>
        <w:t xml:space="preserve">s, is 6.5% for </w:t>
      </w:r>
      <w:r w:rsidR="002F36D0">
        <w:rPr>
          <w:lang w:bidi="ar-SA"/>
        </w:rPr>
        <w:t>LBFLFK</w:t>
      </w:r>
      <w:r w:rsidRPr="00255CDA">
        <w:rPr>
          <w:lang w:bidi="ar-SA"/>
        </w:rPr>
        <w:t xml:space="preserve"> oil</w:t>
      </w:r>
      <w:r>
        <w:rPr>
          <w:lang w:bidi="ar-SA"/>
        </w:rPr>
        <w:t xml:space="preserve"> and 24 – 33% for the </w:t>
      </w:r>
      <w:r w:rsidR="00CF7C84">
        <w:rPr>
          <w:lang w:bidi="ar-SA"/>
        </w:rPr>
        <w:t xml:space="preserve">four </w:t>
      </w:r>
      <w:r>
        <w:rPr>
          <w:lang w:bidi="ar-SA"/>
        </w:rPr>
        <w:t xml:space="preserve">fish oils tested. Levels of total omega-3 </w:t>
      </w:r>
      <w:r w:rsidR="00F906AA">
        <w:rPr>
          <w:lang w:bidi="ar-SA"/>
        </w:rPr>
        <w:t>FA</w:t>
      </w:r>
      <w:r>
        <w:rPr>
          <w:lang w:bidi="ar-SA"/>
        </w:rPr>
        <w:t xml:space="preserve">s are 15% for </w:t>
      </w:r>
      <w:r w:rsidR="002F36D0">
        <w:rPr>
          <w:lang w:bidi="ar-SA"/>
        </w:rPr>
        <w:t>LBFLFK</w:t>
      </w:r>
      <w:r w:rsidRPr="00255CDA">
        <w:rPr>
          <w:lang w:bidi="ar-SA"/>
        </w:rPr>
        <w:t xml:space="preserve"> oil</w:t>
      </w:r>
      <w:r>
        <w:rPr>
          <w:lang w:bidi="ar-SA"/>
        </w:rPr>
        <w:t xml:space="preserve"> and 29 – 39% for fish oils.</w:t>
      </w:r>
    </w:p>
    <w:p w14:paraId="1A936F52" w14:textId="5746303F" w:rsidR="00BF4B5C" w:rsidRPr="000B17F8" w:rsidRDefault="00BF4B5C" w:rsidP="000B17F8">
      <w:pPr>
        <w:keepNext/>
        <w:keepLines/>
        <w:rPr>
          <w:b/>
          <w:lang w:bidi="ar-SA"/>
        </w:rPr>
      </w:pPr>
      <w:r w:rsidRPr="00060F6F">
        <w:rPr>
          <w:b/>
          <w:lang w:bidi="ar-SA"/>
        </w:rPr>
        <w:t xml:space="preserve">Table </w:t>
      </w:r>
      <w:r>
        <w:rPr>
          <w:b/>
          <w:lang w:bidi="ar-SA"/>
        </w:rPr>
        <w:t>1:</w:t>
      </w:r>
      <w:r w:rsidRPr="000B17F8">
        <w:rPr>
          <w:b/>
          <w:lang w:bidi="ar-SA"/>
        </w:rPr>
        <w:t xml:space="preserve"> Levels of </w:t>
      </w:r>
      <w:r w:rsidR="00A26EDC">
        <w:rPr>
          <w:b/>
          <w:lang w:bidi="ar-SA"/>
        </w:rPr>
        <w:t xml:space="preserve">EPA, DPA and DHA </w:t>
      </w:r>
      <w:r>
        <w:rPr>
          <w:b/>
          <w:lang w:bidi="ar-SA"/>
        </w:rPr>
        <w:t xml:space="preserve">(as % of total </w:t>
      </w:r>
      <w:r w:rsidR="000047CF">
        <w:rPr>
          <w:b/>
          <w:lang w:bidi="ar-SA"/>
        </w:rPr>
        <w:t>FA</w:t>
      </w:r>
      <w:r>
        <w:rPr>
          <w:b/>
          <w:lang w:bidi="ar-SA"/>
        </w:rPr>
        <w:t>s)</w:t>
      </w:r>
      <w:r w:rsidRPr="000B17F8">
        <w:rPr>
          <w:b/>
          <w:lang w:bidi="ar-SA"/>
        </w:rPr>
        <w:t xml:space="preserve"> in </w:t>
      </w:r>
      <w:r w:rsidR="002F36D0">
        <w:rPr>
          <w:b/>
          <w:lang w:bidi="ar-SA"/>
        </w:rPr>
        <w:t>LBFLFK</w:t>
      </w:r>
      <w:r w:rsidRPr="000B17F8">
        <w:rPr>
          <w:b/>
          <w:lang w:bidi="ar-SA"/>
        </w:rPr>
        <w:t xml:space="preserve"> oil, co</w:t>
      </w:r>
      <w:r w:rsidR="00435265" w:rsidRPr="00060F6F">
        <w:rPr>
          <w:b/>
          <w:lang w:bidi="ar-SA"/>
        </w:rPr>
        <w:t>nventional canola oils</w:t>
      </w:r>
      <w:r w:rsidRPr="000B17F8">
        <w:rPr>
          <w:b/>
          <w:lang w:bidi="ar-SA"/>
        </w:rPr>
        <w:t xml:space="preserve"> and fish oils</w:t>
      </w:r>
      <w:r w:rsidR="004E3EE1">
        <w:rPr>
          <w:b/>
          <w:lang w:bidi="ar-SA"/>
        </w:rPr>
        <w:t xml:space="preserve"> (Andre et al. 2019)</w:t>
      </w:r>
    </w:p>
    <w:p w14:paraId="12BE84A3" w14:textId="26250EB4" w:rsidR="00222087" w:rsidRPr="003141D2" w:rsidRDefault="00222087" w:rsidP="000B17F8">
      <w:pPr>
        <w:keepNext/>
        <w:keepLines/>
        <w:rPr>
          <w:sz w:val="4"/>
          <w:szCs w:val="4"/>
          <w:lang w:bidi="ar-SA"/>
        </w:rPr>
      </w:pPr>
    </w:p>
    <w:tbl>
      <w:tblPr>
        <w:tblStyle w:val="TableGrid"/>
        <w:tblW w:w="8500" w:type="dxa"/>
        <w:tblLook w:val="04A0" w:firstRow="1" w:lastRow="0" w:firstColumn="1" w:lastColumn="0" w:noHBand="0" w:noVBand="1"/>
        <w:tblCaption w:val="Table 1"/>
        <w:tblDescription w:val="Levels of EPA, DPA and DHA (as % of total FAs) in LBFLFK oil, conventional canola oils and fish oils (Andre et al. 2019)"/>
      </w:tblPr>
      <w:tblGrid>
        <w:gridCol w:w="2263"/>
        <w:gridCol w:w="1985"/>
        <w:gridCol w:w="2126"/>
        <w:gridCol w:w="2126"/>
      </w:tblGrid>
      <w:tr w:rsidR="00127383" w:rsidRPr="00180AAF" w14:paraId="72074E87" w14:textId="77777777" w:rsidTr="1D834C30">
        <w:trPr>
          <w:tblHeader/>
        </w:trPr>
        <w:tc>
          <w:tcPr>
            <w:tcW w:w="2263" w:type="dxa"/>
            <w:shd w:val="clear" w:color="auto" w:fill="9BBB59" w:themeFill="accent3"/>
            <w:vAlign w:val="center"/>
          </w:tcPr>
          <w:p w14:paraId="78B23A98" w14:textId="0AEDC8A2" w:rsidR="00127383" w:rsidRPr="000B17F8" w:rsidRDefault="00127383" w:rsidP="00DC1EFD">
            <w:pPr>
              <w:keepNext/>
              <w:keepLines/>
              <w:spacing w:before="40" w:after="40"/>
              <w:jc w:val="center"/>
              <w:rPr>
                <w:sz w:val="20"/>
                <w:szCs w:val="20"/>
                <w:lang w:bidi="ar-SA"/>
              </w:rPr>
            </w:pPr>
          </w:p>
        </w:tc>
        <w:tc>
          <w:tcPr>
            <w:tcW w:w="1985" w:type="dxa"/>
            <w:shd w:val="clear" w:color="auto" w:fill="9BBB59" w:themeFill="accent3"/>
            <w:vAlign w:val="center"/>
          </w:tcPr>
          <w:p w14:paraId="687ED094" w14:textId="11946F83" w:rsidR="00127383" w:rsidRPr="000B17F8" w:rsidRDefault="002F36D0" w:rsidP="00B262F4">
            <w:pPr>
              <w:keepNext/>
              <w:keepLines/>
              <w:spacing w:before="40" w:after="40"/>
              <w:jc w:val="center"/>
              <w:rPr>
                <w:b/>
                <w:sz w:val="20"/>
                <w:szCs w:val="20"/>
                <w:lang w:bidi="ar-SA"/>
              </w:rPr>
            </w:pPr>
            <w:r>
              <w:rPr>
                <w:b/>
                <w:sz w:val="20"/>
                <w:szCs w:val="20"/>
                <w:lang w:bidi="ar-SA"/>
              </w:rPr>
              <w:t>LBFLFK</w:t>
            </w:r>
            <w:r w:rsidR="00127383" w:rsidRPr="000B17F8">
              <w:rPr>
                <w:b/>
                <w:sz w:val="20"/>
                <w:szCs w:val="20"/>
                <w:lang w:bidi="ar-SA"/>
              </w:rPr>
              <w:t xml:space="preserve"> oil</w:t>
            </w:r>
            <w:r w:rsidR="004F06F7" w:rsidRPr="00954114">
              <w:rPr>
                <w:b/>
                <w:sz w:val="20"/>
                <w:szCs w:val="20"/>
                <w:vertAlign w:val="superscript"/>
                <w:lang w:bidi="ar-SA"/>
              </w:rPr>
              <w:t xml:space="preserve"> 1</w:t>
            </w:r>
          </w:p>
        </w:tc>
        <w:tc>
          <w:tcPr>
            <w:tcW w:w="2126" w:type="dxa"/>
            <w:shd w:val="clear" w:color="auto" w:fill="9BBB59" w:themeFill="accent3"/>
            <w:vAlign w:val="center"/>
          </w:tcPr>
          <w:p w14:paraId="6414A53D" w14:textId="6CC0F90E" w:rsidR="00127383" w:rsidRPr="000B17F8" w:rsidRDefault="00127383" w:rsidP="00912332">
            <w:pPr>
              <w:keepNext/>
              <w:keepLines/>
              <w:spacing w:before="40" w:after="40"/>
              <w:jc w:val="center"/>
              <w:rPr>
                <w:b/>
                <w:sz w:val="20"/>
                <w:szCs w:val="20"/>
                <w:lang w:bidi="ar-SA"/>
              </w:rPr>
            </w:pPr>
            <w:r w:rsidRPr="000B17F8">
              <w:rPr>
                <w:b/>
                <w:sz w:val="20"/>
                <w:szCs w:val="20"/>
                <w:lang w:bidi="ar-SA"/>
              </w:rPr>
              <w:t>Conventional canola oils</w:t>
            </w:r>
            <w:r w:rsidRPr="008A26D7">
              <w:rPr>
                <w:b/>
                <w:sz w:val="8"/>
                <w:szCs w:val="8"/>
                <w:lang w:bidi="ar-SA"/>
              </w:rPr>
              <w:t xml:space="preserve"> </w:t>
            </w:r>
            <w:r w:rsidR="004F06F7">
              <w:rPr>
                <w:b/>
                <w:sz w:val="20"/>
                <w:szCs w:val="20"/>
                <w:vertAlign w:val="superscript"/>
                <w:lang w:bidi="ar-SA"/>
              </w:rPr>
              <w:t>2</w:t>
            </w:r>
          </w:p>
        </w:tc>
        <w:tc>
          <w:tcPr>
            <w:tcW w:w="2126" w:type="dxa"/>
            <w:shd w:val="clear" w:color="auto" w:fill="9BBB59" w:themeFill="accent3"/>
            <w:vAlign w:val="center"/>
          </w:tcPr>
          <w:p w14:paraId="07140F72" w14:textId="421F7DCE" w:rsidR="00127383" w:rsidRPr="000B17F8" w:rsidRDefault="00127383">
            <w:pPr>
              <w:keepNext/>
              <w:keepLines/>
              <w:spacing w:before="40" w:after="40"/>
              <w:jc w:val="center"/>
              <w:rPr>
                <w:b/>
                <w:sz w:val="20"/>
                <w:szCs w:val="20"/>
                <w:lang w:bidi="ar-SA"/>
              </w:rPr>
            </w:pPr>
            <w:r w:rsidRPr="000B17F8">
              <w:rPr>
                <w:b/>
                <w:sz w:val="20"/>
                <w:szCs w:val="20"/>
                <w:lang w:bidi="ar-SA"/>
              </w:rPr>
              <w:t>Fish oils</w:t>
            </w:r>
            <w:r w:rsidRPr="008A26D7">
              <w:rPr>
                <w:b/>
                <w:sz w:val="8"/>
                <w:szCs w:val="8"/>
                <w:lang w:bidi="ar-SA"/>
              </w:rPr>
              <w:t xml:space="preserve"> </w:t>
            </w:r>
            <w:r w:rsidR="004F06F7">
              <w:rPr>
                <w:b/>
                <w:sz w:val="20"/>
                <w:szCs w:val="20"/>
                <w:vertAlign w:val="superscript"/>
                <w:lang w:bidi="ar-SA"/>
              </w:rPr>
              <w:t>3</w:t>
            </w:r>
          </w:p>
        </w:tc>
      </w:tr>
      <w:tr w:rsidR="00127383" w:rsidRPr="00180AAF" w14:paraId="4D79B4CC" w14:textId="77777777" w:rsidTr="1D834C30">
        <w:tc>
          <w:tcPr>
            <w:tcW w:w="2263" w:type="dxa"/>
          </w:tcPr>
          <w:p w14:paraId="2B5E20DF" w14:textId="51F91DBF" w:rsidR="00127383" w:rsidRPr="000B17F8" w:rsidRDefault="00127383" w:rsidP="000B17F8">
            <w:pPr>
              <w:keepNext/>
              <w:keepLines/>
              <w:spacing w:before="40" w:after="40"/>
              <w:rPr>
                <w:b/>
                <w:sz w:val="20"/>
                <w:szCs w:val="20"/>
                <w:lang w:bidi="ar-SA"/>
              </w:rPr>
            </w:pPr>
            <w:r>
              <w:rPr>
                <w:b/>
                <w:sz w:val="20"/>
                <w:szCs w:val="20"/>
                <w:lang w:bidi="ar-SA"/>
              </w:rPr>
              <w:t>EPA</w:t>
            </w:r>
          </w:p>
        </w:tc>
        <w:tc>
          <w:tcPr>
            <w:tcW w:w="1985" w:type="dxa"/>
          </w:tcPr>
          <w:p w14:paraId="551FCBE6" w14:textId="2D124111" w:rsidR="00127383" w:rsidRPr="000B17F8" w:rsidRDefault="00127383" w:rsidP="00C14E23">
            <w:pPr>
              <w:keepNext/>
              <w:keepLines/>
              <w:spacing w:before="40" w:after="40"/>
              <w:jc w:val="center"/>
              <w:rPr>
                <w:sz w:val="20"/>
                <w:szCs w:val="20"/>
                <w:lang w:bidi="ar-SA"/>
              </w:rPr>
            </w:pPr>
            <w:r>
              <w:rPr>
                <w:sz w:val="20"/>
                <w:szCs w:val="20"/>
                <w:lang w:bidi="ar-SA"/>
              </w:rPr>
              <w:t>3.97</w:t>
            </w:r>
          </w:p>
        </w:tc>
        <w:tc>
          <w:tcPr>
            <w:tcW w:w="2126" w:type="dxa"/>
          </w:tcPr>
          <w:p w14:paraId="3FDE1BEF" w14:textId="4D2A1B15" w:rsidR="00127383" w:rsidRPr="000B17F8" w:rsidRDefault="00127383" w:rsidP="00C14E23">
            <w:pPr>
              <w:keepNext/>
              <w:keepLines/>
              <w:spacing w:before="40" w:after="40"/>
              <w:jc w:val="center"/>
              <w:rPr>
                <w:sz w:val="20"/>
                <w:szCs w:val="20"/>
                <w:lang w:bidi="ar-SA"/>
              </w:rPr>
            </w:pPr>
            <w:r>
              <w:rPr>
                <w:sz w:val="20"/>
                <w:szCs w:val="20"/>
                <w:lang w:bidi="ar-SA"/>
              </w:rPr>
              <w:t>&lt; LOQ</w:t>
            </w:r>
            <w:r w:rsidR="00160418" w:rsidRPr="00160418">
              <w:rPr>
                <w:sz w:val="8"/>
                <w:szCs w:val="8"/>
                <w:lang w:bidi="ar-SA"/>
              </w:rPr>
              <w:t xml:space="preserve"> </w:t>
            </w:r>
            <w:r w:rsidR="004F06F7">
              <w:rPr>
                <w:sz w:val="20"/>
                <w:szCs w:val="20"/>
                <w:vertAlign w:val="superscript"/>
                <w:lang w:bidi="ar-SA"/>
              </w:rPr>
              <w:t>4</w:t>
            </w:r>
          </w:p>
        </w:tc>
        <w:tc>
          <w:tcPr>
            <w:tcW w:w="2126" w:type="dxa"/>
          </w:tcPr>
          <w:p w14:paraId="46E27072" w14:textId="35832974" w:rsidR="00127383" w:rsidRPr="000B17F8" w:rsidRDefault="00127383" w:rsidP="00C14E23">
            <w:pPr>
              <w:keepNext/>
              <w:keepLines/>
              <w:spacing w:before="40" w:after="40"/>
              <w:jc w:val="center"/>
              <w:rPr>
                <w:sz w:val="20"/>
                <w:szCs w:val="20"/>
                <w:lang w:bidi="ar-SA"/>
              </w:rPr>
            </w:pPr>
            <w:r>
              <w:rPr>
                <w:sz w:val="20"/>
                <w:szCs w:val="20"/>
                <w:lang w:bidi="ar-SA"/>
              </w:rPr>
              <w:t>9.7 – 18</w:t>
            </w:r>
          </w:p>
        </w:tc>
      </w:tr>
      <w:tr w:rsidR="00127383" w:rsidRPr="00180AAF" w14:paraId="5764D504" w14:textId="77777777" w:rsidTr="1D834C30">
        <w:tc>
          <w:tcPr>
            <w:tcW w:w="2263" w:type="dxa"/>
            <w:shd w:val="clear" w:color="auto" w:fill="EAF1DD" w:themeFill="accent3" w:themeFillTint="33"/>
          </w:tcPr>
          <w:p w14:paraId="5119E321" w14:textId="4C6F3780" w:rsidR="00127383" w:rsidRPr="000B17F8" w:rsidRDefault="00127383" w:rsidP="000B17F8">
            <w:pPr>
              <w:keepNext/>
              <w:keepLines/>
              <w:spacing w:before="40" w:after="40"/>
              <w:rPr>
                <w:b/>
                <w:sz w:val="20"/>
                <w:szCs w:val="20"/>
                <w:lang w:bidi="ar-SA"/>
              </w:rPr>
            </w:pPr>
            <w:r w:rsidRPr="000B17F8">
              <w:rPr>
                <w:b/>
                <w:sz w:val="20"/>
                <w:szCs w:val="20"/>
                <w:lang w:bidi="ar-SA"/>
              </w:rPr>
              <w:t>DPA</w:t>
            </w:r>
          </w:p>
        </w:tc>
        <w:tc>
          <w:tcPr>
            <w:tcW w:w="1985" w:type="dxa"/>
            <w:shd w:val="clear" w:color="auto" w:fill="EAF1DD" w:themeFill="accent3" w:themeFillTint="33"/>
          </w:tcPr>
          <w:p w14:paraId="692B4DD7" w14:textId="0F9433F0" w:rsidR="00127383" w:rsidRPr="000B17F8" w:rsidRDefault="00127383" w:rsidP="00C14E23">
            <w:pPr>
              <w:keepNext/>
              <w:keepLines/>
              <w:spacing w:before="40" w:after="40"/>
              <w:jc w:val="center"/>
              <w:rPr>
                <w:sz w:val="20"/>
                <w:szCs w:val="20"/>
                <w:lang w:bidi="ar-SA"/>
              </w:rPr>
            </w:pPr>
            <w:r>
              <w:rPr>
                <w:sz w:val="20"/>
                <w:szCs w:val="20"/>
                <w:lang w:bidi="ar-SA"/>
              </w:rPr>
              <w:t>2.14</w:t>
            </w:r>
          </w:p>
        </w:tc>
        <w:tc>
          <w:tcPr>
            <w:tcW w:w="2126" w:type="dxa"/>
            <w:shd w:val="clear" w:color="auto" w:fill="EAF1DD" w:themeFill="accent3" w:themeFillTint="33"/>
          </w:tcPr>
          <w:p w14:paraId="3D561DAD" w14:textId="37E0B14E" w:rsidR="00127383" w:rsidRPr="000B17F8" w:rsidRDefault="00127383" w:rsidP="00C14E23">
            <w:pPr>
              <w:keepNext/>
              <w:keepLines/>
              <w:spacing w:before="40" w:after="40"/>
              <w:jc w:val="center"/>
              <w:rPr>
                <w:sz w:val="20"/>
                <w:szCs w:val="20"/>
                <w:lang w:bidi="ar-SA"/>
              </w:rPr>
            </w:pPr>
            <w:r w:rsidRPr="008E1D7B">
              <w:rPr>
                <w:sz w:val="20"/>
                <w:szCs w:val="20"/>
                <w:lang w:bidi="ar-SA"/>
              </w:rPr>
              <w:t>&lt; LOQ</w:t>
            </w:r>
          </w:p>
        </w:tc>
        <w:tc>
          <w:tcPr>
            <w:tcW w:w="2126" w:type="dxa"/>
            <w:shd w:val="clear" w:color="auto" w:fill="EAF1DD" w:themeFill="accent3" w:themeFillTint="33"/>
          </w:tcPr>
          <w:p w14:paraId="2BBD5742" w14:textId="025195DB" w:rsidR="00127383" w:rsidRPr="000B17F8" w:rsidRDefault="00127383" w:rsidP="00C14E23">
            <w:pPr>
              <w:keepNext/>
              <w:keepLines/>
              <w:spacing w:before="40" w:after="40"/>
              <w:jc w:val="center"/>
              <w:rPr>
                <w:sz w:val="20"/>
                <w:szCs w:val="20"/>
                <w:lang w:bidi="ar-SA"/>
              </w:rPr>
            </w:pPr>
            <w:r>
              <w:rPr>
                <w:sz w:val="20"/>
                <w:szCs w:val="20"/>
                <w:lang w:bidi="ar-SA"/>
              </w:rPr>
              <w:t>1.5 – 2.5</w:t>
            </w:r>
          </w:p>
        </w:tc>
      </w:tr>
      <w:tr w:rsidR="00127383" w:rsidRPr="00180AAF" w14:paraId="3A7375BC" w14:textId="77777777" w:rsidTr="1D834C30">
        <w:tc>
          <w:tcPr>
            <w:tcW w:w="2263" w:type="dxa"/>
          </w:tcPr>
          <w:p w14:paraId="524CEE84" w14:textId="1CDF8B80" w:rsidR="00127383" w:rsidRPr="000B17F8" w:rsidRDefault="00127383" w:rsidP="000B17F8">
            <w:pPr>
              <w:keepNext/>
              <w:keepLines/>
              <w:spacing w:before="40" w:after="40"/>
              <w:rPr>
                <w:b/>
                <w:sz w:val="20"/>
                <w:szCs w:val="20"/>
                <w:lang w:bidi="ar-SA"/>
              </w:rPr>
            </w:pPr>
            <w:r w:rsidRPr="000B17F8">
              <w:rPr>
                <w:b/>
                <w:sz w:val="20"/>
                <w:szCs w:val="20"/>
                <w:lang w:bidi="ar-SA"/>
              </w:rPr>
              <w:t>DHA</w:t>
            </w:r>
          </w:p>
        </w:tc>
        <w:tc>
          <w:tcPr>
            <w:tcW w:w="1985" w:type="dxa"/>
          </w:tcPr>
          <w:p w14:paraId="6C6725A7" w14:textId="330D567B" w:rsidR="00127383" w:rsidRPr="000B17F8" w:rsidRDefault="00127383" w:rsidP="00C14E23">
            <w:pPr>
              <w:keepNext/>
              <w:keepLines/>
              <w:spacing w:before="40" w:after="40"/>
              <w:jc w:val="center"/>
              <w:rPr>
                <w:sz w:val="20"/>
                <w:szCs w:val="20"/>
                <w:lang w:bidi="ar-SA"/>
              </w:rPr>
            </w:pPr>
            <w:r>
              <w:rPr>
                <w:sz w:val="20"/>
                <w:szCs w:val="20"/>
                <w:lang w:bidi="ar-SA"/>
              </w:rPr>
              <w:t>0.35</w:t>
            </w:r>
          </w:p>
        </w:tc>
        <w:tc>
          <w:tcPr>
            <w:tcW w:w="2126" w:type="dxa"/>
          </w:tcPr>
          <w:p w14:paraId="4C1C607E" w14:textId="5B38D288" w:rsidR="00127383" w:rsidRPr="000B17F8" w:rsidRDefault="00127383" w:rsidP="00C14E23">
            <w:pPr>
              <w:keepNext/>
              <w:keepLines/>
              <w:spacing w:before="40" w:after="40"/>
              <w:jc w:val="center"/>
              <w:rPr>
                <w:sz w:val="20"/>
                <w:szCs w:val="20"/>
                <w:lang w:bidi="ar-SA"/>
              </w:rPr>
            </w:pPr>
            <w:r w:rsidRPr="008E1D7B">
              <w:rPr>
                <w:sz w:val="20"/>
                <w:szCs w:val="20"/>
                <w:lang w:bidi="ar-SA"/>
              </w:rPr>
              <w:t>&lt; LOQ</w:t>
            </w:r>
          </w:p>
        </w:tc>
        <w:tc>
          <w:tcPr>
            <w:tcW w:w="2126" w:type="dxa"/>
          </w:tcPr>
          <w:p w14:paraId="77AEA01B" w14:textId="412C1ADB" w:rsidR="00127383" w:rsidRPr="000B17F8" w:rsidRDefault="00127383" w:rsidP="00C14E23">
            <w:pPr>
              <w:keepNext/>
              <w:keepLines/>
              <w:spacing w:before="40" w:after="40"/>
              <w:jc w:val="center"/>
              <w:rPr>
                <w:sz w:val="20"/>
                <w:szCs w:val="20"/>
                <w:lang w:bidi="ar-SA"/>
              </w:rPr>
            </w:pPr>
            <w:r>
              <w:rPr>
                <w:sz w:val="20"/>
                <w:szCs w:val="20"/>
                <w:lang w:bidi="ar-SA"/>
              </w:rPr>
              <w:t>11 – 13</w:t>
            </w:r>
          </w:p>
        </w:tc>
      </w:tr>
      <w:tr w:rsidR="00127383" w:rsidRPr="00180AAF" w14:paraId="629BCF52" w14:textId="77777777" w:rsidTr="1D834C30">
        <w:tc>
          <w:tcPr>
            <w:tcW w:w="2263" w:type="dxa"/>
            <w:shd w:val="clear" w:color="auto" w:fill="EAF1DD" w:themeFill="accent3" w:themeFillTint="33"/>
          </w:tcPr>
          <w:p w14:paraId="05E8F076" w14:textId="1DE7481B" w:rsidR="00127383" w:rsidRPr="000B17F8" w:rsidRDefault="00127383" w:rsidP="000B17F8">
            <w:pPr>
              <w:keepNext/>
              <w:keepLines/>
              <w:spacing w:before="40" w:after="40"/>
              <w:rPr>
                <w:b/>
                <w:sz w:val="20"/>
                <w:szCs w:val="20"/>
                <w:lang w:bidi="ar-SA"/>
              </w:rPr>
            </w:pPr>
            <w:r>
              <w:rPr>
                <w:b/>
                <w:sz w:val="20"/>
                <w:szCs w:val="20"/>
                <w:lang w:bidi="ar-SA"/>
              </w:rPr>
              <w:t>EPA+DPA+DHA</w:t>
            </w:r>
          </w:p>
        </w:tc>
        <w:tc>
          <w:tcPr>
            <w:tcW w:w="1985" w:type="dxa"/>
            <w:shd w:val="clear" w:color="auto" w:fill="EAF1DD" w:themeFill="accent3" w:themeFillTint="33"/>
          </w:tcPr>
          <w:p w14:paraId="545D9830" w14:textId="6E15137C" w:rsidR="00127383" w:rsidRDefault="00127383" w:rsidP="00C14E23">
            <w:pPr>
              <w:keepNext/>
              <w:keepLines/>
              <w:spacing w:before="40" w:after="40"/>
              <w:jc w:val="center"/>
              <w:rPr>
                <w:sz w:val="20"/>
                <w:szCs w:val="20"/>
                <w:lang w:bidi="ar-SA"/>
              </w:rPr>
            </w:pPr>
            <w:r>
              <w:rPr>
                <w:sz w:val="20"/>
                <w:szCs w:val="20"/>
                <w:lang w:bidi="ar-SA"/>
              </w:rPr>
              <w:t>6.5</w:t>
            </w:r>
          </w:p>
        </w:tc>
        <w:tc>
          <w:tcPr>
            <w:tcW w:w="2126" w:type="dxa"/>
            <w:shd w:val="clear" w:color="auto" w:fill="EAF1DD" w:themeFill="accent3" w:themeFillTint="33"/>
          </w:tcPr>
          <w:p w14:paraId="25A4418E" w14:textId="2794578A" w:rsidR="00127383" w:rsidRPr="008E1D7B" w:rsidRDefault="00127383" w:rsidP="00C14E23">
            <w:pPr>
              <w:keepNext/>
              <w:keepLines/>
              <w:spacing w:before="40" w:after="40"/>
              <w:jc w:val="center"/>
              <w:rPr>
                <w:sz w:val="20"/>
                <w:szCs w:val="20"/>
                <w:lang w:bidi="ar-SA"/>
              </w:rPr>
            </w:pPr>
            <w:r>
              <w:rPr>
                <w:sz w:val="20"/>
                <w:szCs w:val="20"/>
                <w:lang w:bidi="ar-SA"/>
              </w:rPr>
              <w:t>NA</w:t>
            </w:r>
          </w:p>
        </w:tc>
        <w:tc>
          <w:tcPr>
            <w:tcW w:w="2126" w:type="dxa"/>
            <w:shd w:val="clear" w:color="auto" w:fill="EAF1DD" w:themeFill="accent3" w:themeFillTint="33"/>
          </w:tcPr>
          <w:p w14:paraId="2973AF71" w14:textId="5F7369F9" w:rsidR="00127383" w:rsidRDefault="003341A7" w:rsidP="00C14E23">
            <w:pPr>
              <w:keepNext/>
              <w:keepLines/>
              <w:spacing w:before="40" w:after="40"/>
              <w:jc w:val="center"/>
              <w:rPr>
                <w:sz w:val="20"/>
                <w:szCs w:val="20"/>
                <w:lang w:bidi="ar-SA"/>
              </w:rPr>
            </w:pPr>
            <w:r>
              <w:rPr>
                <w:sz w:val="20"/>
                <w:szCs w:val="20"/>
                <w:lang w:bidi="ar-SA"/>
              </w:rPr>
              <w:t>24 – 33</w:t>
            </w:r>
          </w:p>
        </w:tc>
      </w:tr>
      <w:tr w:rsidR="00127383" w:rsidRPr="00180AAF" w14:paraId="39AB383F" w14:textId="77777777" w:rsidTr="1D834C30">
        <w:tc>
          <w:tcPr>
            <w:tcW w:w="2263" w:type="dxa"/>
          </w:tcPr>
          <w:p w14:paraId="7A787992" w14:textId="5A93A951" w:rsidR="00127383" w:rsidRPr="000B17F8" w:rsidRDefault="00127383" w:rsidP="00AA68E1">
            <w:pPr>
              <w:keepNext/>
              <w:keepLines/>
              <w:spacing w:before="40" w:after="40"/>
              <w:rPr>
                <w:b/>
                <w:sz w:val="20"/>
                <w:szCs w:val="20"/>
                <w:lang w:bidi="ar-SA"/>
              </w:rPr>
            </w:pPr>
            <w:r w:rsidRPr="000B17F8">
              <w:rPr>
                <w:b/>
                <w:sz w:val="20"/>
                <w:szCs w:val="20"/>
                <w:lang w:bidi="ar-SA"/>
              </w:rPr>
              <w:t xml:space="preserve">Total </w:t>
            </w:r>
            <w:r w:rsidR="00AA68E1">
              <w:rPr>
                <w:b/>
                <w:sz w:val="20"/>
                <w:szCs w:val="20"/>
                <w:lang w:bidi="ar-SA"/>
              </w:rPr>
              <w:t>n-3</w:t>
            </w:r>
          </w:p>
        </w:tc>
        <w:tc>
          <w:tcPr>
            <w:tcW w:w="1985" w:type="dxa"/>
          </w:tcPr>
          <w:p w14:paraId="7ADCDE41" w14:textId="4C176E1F" w:rsidR="00127383" w:rsidRPr="000B17F8" w:rsidRDefault="00127383" w:rsidP="00C14E23">
            <w:pPr>
              <w:keepNext/>
              <w:keepLines/>
              <w:spacing w:before="40" w:after="40"/>
              <w:jc w:val="center"/>
              <w:rPr>
                <w:sz w:val="20"/>
                <w:szCs w:val="20"/>
                <w:lang w:bidi="ar-SA"/>
              </w:rPr>
            </w:pPr>
            <w:r>
              <w:rPr>
                <w:sz w:val="20"/>
                <w:szCs w:val="20"/>
                <w:lang w:bidi="ar-SA"/>
              </w:rPr>
              <w:t>15</w:t>
            </w:r>
          </w:p>
        </w:tc>
        <w:tc>
          <w:tcPr>
            <w:tcW w:w="2126" w:type="dxa"/>
          </w:tcPr>
          <w:p w14:paraId="06476C83" w14:textId="18C18AA2" w:rsidR="00127383" w:rsidRPr="000B17F8" w:rsidRDefault="00127383" w:rsidP="00C14E23">
            <w:pPr>
              <w:keepNext/>
              <w:keepLines/>
              <w:spacing w:before="40" w:after="40"/>
              <w:jc w:val="center"/>
              <w:rPr>
                <w:sz w:val="20"/>
                <w:szCs w:val="20"/>
                <w:lang w:bidi="ar-SA"/>
              </w:rPr>
            </w:pPr>
            <w:r>
              <w:rPr>
                <w:sz w:val="20"/>
                <w:szCs w:val="20"/>
                <w:lang w:bidi="ar-SA"/>
              </w:rPr>
              <w:t>2.5 – 7.3</w:t>
            </w:r>
          </w:p>
        </w:tc>
        <w:tc>
          <w:tcPr>
            <w:tcW w:w="2126" w:type="dxa"/>
          </w:tcPr>
          <w:p w14:paraId="7D1A8BAB" w14:textId="339774ED" w:rsidR="00127383" w:rsidRPr="000B17F8" w:rsidRDefault="00127383" w:rsidP="00C14E23">
            <w:pPr>
              <w:keepNext/>
              <w:keepLines/>
              <w:spacing w:before="40" w:after="40"/>
              <w:jc w:val="center"/>
              <w:rPr>
                <w:sz w:val="20"/>
                <w:szCs w:val="20"/>
                <w:lang w:bidi="ar-SA"/>
              </w:rPr>
            </w:pPr>
            <w:r>
              <w:rPr>
                <w:sz w:val="20"/>
                <w:szCs w:val="20"/>
                <w:lang w:bidi="ar-SA"/>
              </w:rPr>
              <w:t>29 – 39</w:t>
            </w:r>
          </w:p>
        </w:tc>
      </w:tr>
    </w:tbl>
    <w:p w14:paraId="53825E22" w14:textId="3199DA90" w:rsidR="1D834C30" w:rsidRDefault="1D834C30"/>
    <w:p w14:paraId="5B2BAA1B" w14:textId="116E54C7" w:rsidR="004F06F7" w:rsidRDefault="004F06F7" w:rsidP="000B17F8">
      <w:pPr>
        <w:keepNext/>
        <w:keepLines/>
        <w:rPr>
          <w:sz w:val="18"/>
          <w:szCs w:val="18"/>
          <w:vertAlign w:val="superscript"/>
          <w:lang w:bidi="ar-SA"/>
        </w:rPr>
      </w:pPr>
      <w:r>
        <w:rPr>
          <w:sz w:val="18"/>
          <w:szCs w:val="18"/>
          <w:vertAlign w:val="superscript"/>
          <w:lang w:bidi="ar-SA"/>
        </w:rPr>
        <w:t xml:space="preserve">1 </w:t>
      </w:r>
      <w:r>
        <w:rPr>
          <w:sz w:val="18"/>
          <w:szCs w:val="18"/>
          <w:lang w:bidi="ar-SA"/>
        </w:rPr>
        <w:t>Mean levels.</w:t>
      </w:r>
    </w:p>
    <w:p w14:paraId="76B1E076" w14:textId="635DC6E6" w:rsidR="00222087" w:rsidRPr="006435AE" w:rsidRDefault="004F06F7" w:rsidP="000B17F8">
      <w:pPr>
        <w:keepNext/>
        <w:keepLines/>
        <w:rPr>
          <w:sz w:val="18"/>
          <w:szCs w:val="18"/>
          <w:lang w:bidi="ar-SA"/>
        </w:rPr>
      </w:pPr>
      <w:r>
        <w:rPr>
          <w:sz w:val="18"/>
          <w:szCs w:val="18"/>
          <w:vertAlign w:val="superscript"/>
          <w:lang w:bidi="ar-SA"/>
        </w:rPr>
        <w:t>2</w:t>
      </w:r>
      <w:r w:rsidR="007E25A9" w:rsidRPr="006435AE">
        <w:rPr>
          <w:sz w:val="18"/>
          <w:szCs w:val="18"/>
          <w:lang w:bidi="ar-SA"/>
        </w:rPr>
        <w:t xml:space="preserve"> Range of mean </w:t>
      </w:r>
      <w:r w:rsidR="00110F81" w:rsidRPr="006435AE">
        <w:rPr>
          <w:sz w:val="18"/>
          <w:szCs w:val="18"/>
          <w:lang w:bidi="ar-SA"/>
        </w:rPr>
        <w:t>levels in</w:t>
      </w:r>
      <w:r w:rsidR="007E25A9" w:rsidRPr="006435AE">
        <w:rPr>
          <w:sz w:val="18"/>
          <w:szCs w:val="18"/>
          <w:lang w:bidi="ar-SA"/>
        </w:rPr>
        <w:t xml:space="preserve"> four conventional canola oils</w:t>
      </w:r>
      <w:r w:rsidR="00127383" w:rsidRPr="006435AE">
        <w:rPr>
          <w:sz w:val="18"/>
          <w:szCs w:val="18"/>
          <w:lang w:bidi="ar-SA"/>
        </w:rPr>
        <w:t xml:space="preserve">, including oil from the </w:t>
      </w:r>
      <w:r w:rsidR="002F36D0">
        <w:rPr>
          <w:sz w:val="18"/>
          <w:szCs w:val="18"/>
          <w:lang w:bidi="ar-SA"/>
        </w:rPr>
        <w:t>LBFLFK</w:t>
      </w:r>
      <w:r w:rsidR="008A26D7" w:rsidRPr="006435AE">
        <w:rPr>
          <w:sz w:val="18"/>
          <w:szCs w:val="18"/>
          <w:lang w:bidi="ar-SA"/>
        </w:rPr>
        <w:t xml:space="preserve"> </w:t>
      </w:r>
      <w:r w:rsidR="00127383" w:rsidRPr="006435AE">
        <w:rPr>
          <w:sz w:val="18"/>
          <w:szCs w:val="18"/>
          <w:lang w:bidi="ar-SA"/>
        </w:rPr>
        <w:t>parent line (Kumily).</w:t>
      </w:r>
    </w:p>
    <w:p w14:paraId="4C36EA3E" w14:textId="1FA45054" w:rsidR="007E25A9" w:rsidRPr="006435AE" w:rsidRDefault="004F06F7" w:rsidP="000B17F8">
      <w:pPr>
        <w:keepNext/>
        <w:keepLines/>
        <w:rPr>
          <w:sz w:val="18"/>
          <w:szCs w:val="18"/>
          <w:lang w:bidi="ar-SA"/>
        </w:rPr>
      </w:pPr>
      <w:r>
        <w:rPr>
          <w:sz w:val="18"/>
          <w:szCs w:val="18"/>
          <w:vertAlign w:val="superscript"/>
          <w:lang w:bidi="ar-SA"/>
        </w:rPr>
        <w:t>3</w:t>
      </w:r>
      <w:r w:rsidR="00110F81" w:rsidRPr="006435AE">
        <w:rPr>
          <w:sz w:val="18"/>
          <w:szCs w:val="18"/>
          <w:lang w:bidi="ar-SA"/>
        </w:rPr>
        <w:t xml:space="preserve"> Range of mean levels in</w:t>
      </w:r>
      <w:r w:rsidR="007E25A9" w:rsidRPr="006435AE">
        <w:rPr>
          <w:sz w:val="18"/>
          <w:szCs w:val="18"/>
          <w:lang w:bidi="ar-SA"/>
        </w:rPr>
        <w:t xml:space="preserve"> four fish oils.</w:t>
      </w:r>
    </w:p>
    <w:p w14:paraId="7778148F" w14:textId="7DAA7A22" w:rsidR="00160418" w:rsidRPr="006435AE" w:rsidRDefault="004F06F7" w:rsidP="000B17F8">
      <w:pPr>
        <w:keepNext/>
        <w:keepLines/>
        <w:rPr>
          <w:sz w:val="18"/>
          <w:szCs w:val="18"/>
          <w:lang w:bidi="ar-SA"/>
        </w:rPr>
      </w:pPr>
      <w:r>
        <w:rPr>
          <w:sz w:val="18"/>
          <w:szCs w:val="18"/>
          <w:vertAlign w:val="superscript"/>
          <w:lang w:bidi="ar-SA"/>
        </w:rPr>
        <w:t>4</w:t>
      </w:r>
      <w:r w:rsidR="00160418" w:rsidRPr="006435AE">
        <w:rPr>
          <w:sz w:val="18"/>
          <w:szCs w:val="18"/>
          <w:vertAlign w:val="superscript"/>
          <w:lang w:bidi="ar-SA"/>
        </w:rPr>
        <w:t xml:space="preserve"> </w:t>
      </w:r>
      <w:r w:rsidR="00160418" w:rsidRPr="006435AE">
        <w:rPr>
          <w:sz w:val="18"/>
          <w:szCs w:val="18"/>
          <w:lang w:bidi="ar-SA"/>
        </w:rPr>
        <w:t>LOQ: Limit of Quantification.</w:t>
      </w:r>
    </w:p>
    <w:p w14:paraId="48E72E8E" w14:textId="5CB11D16" w:rsidR="00CB3948" w:rsidRPr="008733DF" w:rsidRDefault="00FC7B01" w:rsidP="008733DF">
      <w:pPr>
        <w:keepNext/>
        <w:keepLines/>
        <w:rPr>
          <w:sz w:val="18"/>
          <w:szCs w:val="18"/>
          <w:lang w:bidi="ar-SA"/>
        </w:rPr>
      </w:pPr>
      <w:r w:rsidRPr="006435AE">
        <w:rPr>
          <w:sz w:val="18"/>
          <w:szCs w:val="18"/>
          <w:lang w:bidi="ar-SA"/>
        </w:rPr>
        <w:t>NA: Not Applicable.</w:t>
      </w:r>
    </w:p>
    <w:p w14:paraId="15299BC7" w14:textId="12F7D4E0" w:rsidR="005F0A59" w:rsidRPr="00914A73" w:rsidRDefault="005F0A59" w:rsidP="008241AA">
      <w:pPr>
        <w:pStyle w:val="Heading2"/>
        <w:rPr>
          <w:color w:val="000000" w:themeColor="text1"/>
        </w:rPr>
      </w:pPr>
      <w:bookmarkStart w:id="11" w:name="_Toc102573420"/>
      <w:r w:rsidRPr="00CD5FA7">
        <w:t>2</w:t>
      </w:r>
      <w:r w:rsidR="000B17F8">
        <w:t>.2</w:t>
      </w:r>
      <w:r w:rsidRPr="00CD5FA7">
        <w:tab/>
      </w:r>
      <w:r>
        <w:t>Biochemistry</w:t>
      </w:r>
      <w:r w:rsidR="00E61873">
        <w:t>, bioavailability</w:t>
      </w:r>
      <w:r>
        <w:t xml:space="preserve"> and physiology of </w:t>
      </w:r>
      <w:r w:rsidR="00AA68E1">
        <w:t>n-3</w:t>
      </w:r>
      <w:r w:rsidR="00362245">
        <w:t xml:space="preserve"> fatty acids</w:t>
      </w:r>
      <w:bookmarkEnd w:id="11"/>
      <w:r w:rsidR="001824ED" w:rsidRPr="00914A73">
        <w:rPr>
          <w:color w:val="000000" w:themeColor="text1"/>
        </w:rPr>
        <w:t xml:space="preserve"> </w:t>
      </w:r>
    </w:p>
    <w:p w14:paraId="65B267B7" w14:textId="2C9A04B1" w:rsidR="00A8730E" w:rsidRPr="00AF4AED" w:rsidRDefault="00AA68E1" w:rsidP="008733DF">
      <w:pPr>
        <w:spacing w:after="240"/>
      </w:pPr>
      <w:r>
        <w:t>PUFAs</w:t>
      </w:r>
      <w:r w:rsidR="00273B70" w:rsidRPr="00AF4AED">
        <w:t xml:space="preserve"> have a backbone of </w:t>
      </w:r>
      <w:r w:rsidR="00273B70" w:rsidRPr="00AF4AED">
        <w:rPr>
          <w:rFonts w:cs="Arial"/>
        </w:rPr>
        <w:t>≥</w:t>
      </w:r>
      <w:r w:rsidR="00273B70" w:rsidRPr="00AF4AED">
        <w:t>18 carbon atoms with two or more unsaturated (i.e. double) bonds. Depending on the position of the first double bond, PUFA</w:t>
      </w:r>
      <w:r>
        <w:t>s</w:t>
      </w:r>
      <w:r w:rsidR="00273B70" w:rsidRPr="00AF4AED">
        <w:t xml:space="preserve"> are categorised into two </w:t>
      </w:r>
      <w:r w:rsidR="002C353F">
        <w:t xml:space="preserve">main </w:t>
      </w:r>
      <w:r w:rsidR="00273B70" w:rsidRPr="00AF4AED">
        <w:t>groups: n-3</w:t>
      </w:r>
      <w:r w:rsidR="002C353F">
        <w:t xml:space="preserve"> </w:t>
      </w:r>
      <w:r w:rsidR="00273B70" w:rsidRPr="00641AAF">
        <w:t xml:space="preserve">and </w:t>
      </w:r>
      <w:r w:rsidR="002C353F" w:rsidRPr="00641AAF">
        <w:t>omega-6</w:t>
      </w:r>
      <w:r>
        <w:t xml:space="preserve"> (</w:t>
      </w:r>
      <w:r w:rsidRPr="00641AAF">
        <w:t>n-6</w:t>
      </w:r>
      <w:r>
        <w:t>)</w:t>
      </w:r>
      <w:r w:rsidR="00273B70" w:rsidRPr="00641AAF">
        <w:t>. T</w:t>
      </w:r>
      <w:r w:rsidR="00273B70" w:rsidRPr="00D441C7">
        <w:t xml:space="preserve">he </w:t>
      </w:r>
      <w:r w:rsidR="00F906AA">
        <w:t>FA</w:t>
      </w:r>
      <w:r w:rsidR="00377593">
        <w:t xml:space="preserve"> nomenclature for </w:t>
      </w:r>
      <w:r w:rsidR="00914A73" w:rsidRPr="00A8730E">
        <w:t>EPA</w:t>
      </w:r>
      <w:r w:rsidR="00914A73">
        <w:t xml:space="preserve"> (</w:t>
      </w:r>
      <w:r w:rsidR="00914A73" w:rsidRPr="00A8730E">
        <w:t>20:5n-3</w:t>
      </w:r>
      <w:r w:rsidR="00914A73">
        <w:t xml:space="preserve">), DPA (22:5n-3) and </w:t>
      </w:r>
      <w:r w:rsidR="00377593">
        <w:t>DHA (</w:t>
      </w:r>
      <w:r w:rsidR="00273B70" w:rsidRPr="00AF4AED">
        <w:t>22:6n-3</w:t>
      </w:r>
      <w:r w:rsidR="00377593">
        <w:t xml:space="preserve">) </w:t>
      </w:r>
      <w:r w:rsidR="00273B70" w:rsidRPr="00AF4AED">
        <w:t>describes the number of carbon atoms in the backbone (</w:t>
      </w:r>
      <w:r w:rsidR="00377593">
        <w:t>20 for EPA</w:t>
      </w:r>
      <w:r w:rsidR="00914A73">
        <w:t xml:space="preserve">, </w:t>
      </w:r>
      <w:r w:rsidR="00914A73" w:rsidRPr="00AF4AED">
        <w:t>22</w:t>
      </w:r>
      <w:r w:rsidR="00914A73">
        <w:t xml:space="preserve"> for DPA and DHA), the number of double bonds (</w:t>
      </w:r>
      <w:r w:rsidR="00377593">
        <w:t>5,</w:t>
      </w:r>
      <w:r w:rsidR="00914A73">
        <w:t xml:space="preserve"> 5 and 6</w:t>
      </w:r>
      <w:r w:rsidR="00377593">
        <w:t xml:space="preserve"> respectively</w:t>
      </w:r>
      <w:r w:rsidR="00273B70" w:rsidRPr="00AF4AED">
        <w:t>) and the position of the first double bond counting from the methyl end (n-3).</w:t>
      </w:r>
    </w:p>
    <w:p w14:paraId="3A02B1DB" w14:textId="10C0C6FD" w:rsidR="00E61873" w:rsidRDefault="00273B70" w:rsidP="008733DF">
      <w:pPr>
        <w:spacing w:after="240"/>
      </w:pPr>
      <w:r w:rsidRPr="00AF4AED">
        <w:t>Linoleic acid (</w:t>
      </w:r>
      <w:r w:rsidRPr="00D441C7">
        <w:t xml:space="preserve">LA, 18:2n-6) and α-linolenic acid (ALA, 18:3n-3) are essential </w:t>
      </w:r>
      <w:r w:rsidR="00F906AA">
        <w:t>FA</w:t>
      </w:r>
      <w:r w:rsidRPr="00D441C7">
        <w:t>s that are metabolised, respectively, to n-6 and n-3 LC</w:t>
      </w:r>
      <w:r w:rsidR="00E61873">
        <w:t>-</w:t>
      </w:r>
      <w:r w:rsidRPr="00D441C7">
        <w:t>PUFA</w:t>
      </w:r>
      <w:r w:rsidR="00D441C7" w:rsidRPr="00D441C7">
        <w:t xml:space="preserve"> </w:t>
      </w:r>
      <w:r w:rsidR="002E2653">
        <w:t xml:space="preserve">containing </w:t>
      </w:r>
      <w:r w:rsidR="002E2653" w:rsidRPr="002E2653">
        <w:t>≥</w:t>
      </w:r>
      <w:r w:rsidR="002E2653">
        <w:t xml:space="preserve">20 carbon atoms </w:t>
      </w:r>
      <w:r w:rsidR="00D441C7" w:rsidRPr="00D441C7">
        <w:t>(Brenna et al. 2009)</w:t>
      </w:r>
      <w:r w:rsidRPr="00D441C7">
        <w:t xml:space="preserve">. Conversion </w:t>
      </w:r>
      <w:r w:rsidRPr="00AF4AED">
        <w:t xml:space="preserve">of dietary </w:t>
      </w:r>
      <w:r w:rsidRPr="00D441C7">
        <w:t>ALA to EPA</w:t>
      </w:r>
      <w:r w:rsidR="00914A73">
        <w:t>, DPA</w:t>
      </w:r>
      <w:r w:rsidRPr="00D441C7">
        <w:t xml:space="preserve"> and DHA is limited</w:t>
      </w:r>
      <w:r w:rsidR="00726525">
        <w:t xml:space="preserve"> (</w:t>
      </w:r>
      <w:r w:rsidR="00D441C7" w:rsidRPr="00D441C7">
        <w:t xml:space="preserve">Plourde and Cunnane 2007) </w:t>
      </w:r>
      <w:r w:rsidRPr="00AF4AED">
        <w:t>and the enzymatic steps in the conversion pathway vary in efficiency and are influenced by the composition of dietary f</w:t>
      </w:r>
      <w:r w:rsidRPr="00D441C7">
        <w:t>ats</w:t>
      </w:r>
      <w:r w:rsidR="00D441C7" w:rsidRPr="00D441C7">
        <w:t xml:space="preserve"> (Goyens et al. 2006</w:t>
      </w:r>
      <w:r w:rsidR="00BD5BAB">
        <w:t>;</w:t>
      </w:r>
      <w:r w:rsidR="00D441C7" w:rsidRPr="00D441C7">
        <w:t xml:space="preserve"> Harnack et al. 2009)</w:t>
      </w:r>
      <w:r w:rsidRPr="000740F5">
        <w:rPr>
          <w:color w:val="000000" w:themeColor="text1"/>
        </w:rPr>
        <w:t>.</w:t>
      </w:r>
      <w:r w:rsidR="000740F5" w:rsidRPr="000740F5">
        <w:rPr>
          <w:color w:val="000000" w:themeColor="text1"/>
        </w:rPr>
        <w:t xml:space="preserve"> </w:t>
      </w:r>
      <w:r w:rsidR="000740F5">
        <w:t xml:space="preserve">Dietary intake of </w:t>
      </w:r>
      <w:r w:rsidR="00A8730E">
        <w:t>EPA</w:t>
      </w:r>
      <w:r w:rsidR="005F3825">
        <w:t>, DPA</w:t>
      </w:r>
      <w:r w:rsidR="00A8730E">
        <w:t xml:space="preserve"> and </w:t>
      </w:r>
      <w:r w:rsidR="000740F5">
        <w:t>DHA is</w:t>
      </w:r>
      <w:r w:rsidRPr="00AF4AED">
        <w:t xml:space="preserve"> mainly from the consum</w:t>
      </w:r>
      <w:r w:rsidR="000740F5">
        <w:t>ption of seafood,</w:t>
      </w:r>
      <w:r w:rsidRPr="00AF4AED">
        <w:t xml:space="preserve"> </w:t>
      </w:r>
      <w:r w:rsidRPr="00AF4AED" w:rsidDel="00D13248">
        <w:t>with a contribution due to endo</w:t>
      </w:r>
      <w:r w:rsidRPr="00D441C7" w:rsidDel="00D13248">
        <w:t>genous biosynthesis from dietary ALA</w:t>
      </w:r>
      <w:r w:rsidR="00D441C7" w:rsidRPr="00D441C7">
        <w:t xml:space="preserve"> (Holman 1998</w:t>
      </w:r>
      <w:r w:rsidR="00BD5BAB">
        <w:t>;</w:t>
      </w:r>
      <w:r w:rsidR="00D441C7" w:rsidRPr="00D441C7">
        <w:t xml:space="preserve"> Simopoulos 1991</w:t>
      </w:r>
      <w:r w:rsidR="00726525">
        <w:t>;</w:t>
      </w:r>
      <w:r w:rsidR="00726525" w:rsidRPr="00726525">
        <w:t xml:space="preserve"> </w:t>
      </w:r>
      <w:r w:rsidR="00726525" w:rsidRPr="00D441C7">
        <w:t>Tinoco 1982</w:t>
      </w:r>
      <w:r w:rsidR="00D441C7" w:rsidRPr="00D441C7">
        <w:t>)</w:t>
      </w:r>
      <w:r w:rsidRPr="00D441C7">
        <w:t xml:space="preserve">. </w:t>
      </w:r>
    </w:p>
    <w:p w14:paraId="60C568FF" w14:textId="0336DF12" w:rsidR="00E21C29" w:rsidRDefault="00E61873" w:rsidP="008733DF">
      <w:pPr>
        <w:spacing w:after="240"/>
      </w:pPr>
      <w:r>
        <w:t>The b</w:t>
      </w:r>
      <w:r w:rsidR="00273B70" w:rsidRPr="00D441C7">
        <w:t xml:space="preserve">ioavailability </w:t>
      </w:r>
      <w:r w:rsidR="00273B70" w:rsidRPr="00AF4AED">
        <w:t xml:space="preserve">of dietary n-3 LC-PUFA is influenced by factors such as their chemical form (e.g. free </w:t>
      </w:r>
      <w:r w:rsidR="00F906AA">
        <w:t>FA</w:t>
      </w:r>
      <w:r w:rsidR="00273B70" w:rsidRPr="00AF4AED">
        <w:t>s</w:t>
      </w:r>
      <w:r w:rsidR="00BD5BAB">
        <w:t>, phospholipids,</w:t>
      </w:r>
      <w:r w:rsidR="00273B70" w:rsidRPr="00AF4AED">
        <w:t xml:space="preserve"> or triglycerides) and other nutrients present in the food matrix, particularly </w:t>
      </w:r>
      <w:r w:rsidR="00273B70" w:rsidRPr="00D441C7">
        <w:t>the presence of other fats in a meal which appears to improve absorption of n-3 LC-PUFA</w:t>
      </w:r>
      <w:r w:rsidR="00D441C7" w:rsidRPr="00D441C7">
        <w:t xml:space="preserve"> (</w:t>
      </w:r>
      <w:r w:rsidR="00726525" w:rsidRPr="00D441C7">
        <w:t>Lawson and Hughes 1988</w:t>
      </w:r>
      <w:r w:rsidR="00726525">
        <w:t xml:space="preserve">; </w:t>
      </w:r>
      <w:r w:rsidR="00D441C7" w:rsidRPr="00D441C7">
        <w:t>Schuchardt and Hahn 2013)</w:t>
      </w:r>
      <w:r w:rsidR="00273B70" w:rsidRPr="00D441C7">
        <w:t>.</w:t>
      </w:r>
      <w:r w:rsidR="00F50262">
        <w:t xml:space="preserve"> </w:t>
      </w:r>
      <w:r w:rsidR="0051301F">
        <w:t xml:space="preserve">As for fish, </w:t>
      </w:r>
      <w:r w:rsidR="00F906AA">
        <w:t>FA</w:t>
      </w:r>
      <w:r w:rsidR="00DC3BBA">
        <w:t>s</w:t>
      </w:r>
      <w:r w:rsidR="002D2D8C" w:rsidRPr="002D2D8C">
        <w:t xml:space="preserve"> </w:t>
      </w:r>
      <w:r w:rsidR="00325F9A">
        <w:t xml:space="preserve">in </w:t>
      </w:r>
      <w:r w:rsidR="0051301F">
        <w:t xml:space="preserve">canola oil </w:t>
      </w:r>
      <w:r w:rsidR="00325F9A">
        <w:t xml:space="preserve">are </w:t>
      </w:r>
      <w:r w:rsidR="002D2D8C" w:rsidRPr="002D2D8C">
        <w:t xml:space="preserve">predominantly </w:t>
      </w:r>
      <w:r w:rsidR="00325F9A">
        <w:t xml:space="preserve">in the form of </w:t>
      </w:r>
      <w:r w:rsidR="002D2D8C" w:rsidRPr="002D2D8C">
        <w:t>triglycerides</w:t>
      </w:r>
      <w:r w:rsidR="0051301F">
        <w:t xml:space="preserve"> (92-99%</w:t>
      </w:r>
      <w:r w:rsidR="00B553EF">
        <w:t>; OECD 2011</w:t>
      </w:r>
      <w:r w:rsidR="0051301F">
        <w:t>)</w:t>
      </w:r>
      <w:r w:rsidR="002D2D8C" w:rsidRPr="002D2D8C">
        <w:t xml:space="preserve">, </w:t>
      </w:r>
      <w:r w:rsidR="00B553EF">
        <w:t xml:space="preserve">and therefore the bioavailability of EPA, DPA and DHA from triglycerides in </w:t>
      </w:r>
      <w:r w:rsidR="002F36D0">
        <w:t>LBFLFK</w:t>
      </w:r>
      <w:r w:rsidR="00B553EF" w:rsidRPr="00B553EF">
        <w:t xml:space="preserve"> oil</w:t>
      </w:r>
      <w:r w:rsidR="00B553EF">
        <w:t xml:space="preserve"> and fish oil </w:t>
      </w:r>
      <w:r w:rsidR="007342DB">
        <w:t>is</w:t>
      </w:r>
      <w:r w:rsidR="00B553EF">
        <w:t xml:space="preserve"> expected to be similar. </w:t>
      </w:r>
    </w:p>
    <w:p w14:paraId="049A133E" w14:textId="7DBDFD33" w:rsidR="00E21C29" w:rsidRDefault="00E21C29" w:rsidP="008733DF">
      <w:pPr>
        <w:spacing w:after="240"/>
      </w:pPr>
      <w:r w:rsidRPr="00E21C29">
        <w:t xml:space="preserve">n-3 LC-PUFA play a role in several physiological functions including regulation of </w:t>
      </w:r>
      <w:r w:rsidRPr="00E21C29">
        <w:lastRenderedPageBreak/>
        <w:t>inflammation and immune function, lipid metabolism, and cardiovascular function. Their multiple actions appear to involve mechanisms linking the cell membrane, the cytosol, and the nucleus (Calder 2012).</w:t>
      </w:r>
    </w:p>
    <w:p w14:paraId="1C6582C7" w14:textId="444ED1CB" w:rsidR="005F0A59" w:rsidRDefault="005F0A59" w:rsidP="008241AA">
      <w:pPr>
        <w:pStyle w:val="Heading2"/>
      </w:pPr>
      <w:bookmarkStart w:id="12" w:name="_CTVL0010ce71c9e87304a08bd3129937825dda1"/>
      <w:bookmarkStart w:id="13" w:name="_Toc102573421"/>
      <w:bookmarkEnd w:id="12"/>
      <w:r w:rsidRPr="00CD5FA7">
        <w:t>2</w:t>
      </w:r>
      <w:r w:rsidR="009A34B4">
        <w:t>.3</w:t>
      </w:r>
      <w:r w:rsidRPr="00CD5FA7">
        <w:tab/>
      </w:r>
      <w:r>
        <w:t>Upper Level of Intake</w:t>
      </w:r>
      <w:bookmarkEnd w:id="13"/>
      <w:r w:rsidRPr="00CD5FA7">
        <w:t xml:space="preserve"> </w:t>
      </w:r>
    </w:p>
    <w:p w14:paraId="51912B54" w14:textId="296E92F8" w:rsidR="004B695F" w:rsidRDefault="007A3146" w:rsidP="008733DF">
      <w:pPr>
        <w:spacing w:after="240"/>
        <w:rPr>
          <w:lang w:eastAsia="en-AU" w:bidi="ar-SA"/>
        </w:rPr>
      </w:pPr>
      <w:r w:rsidRPr="00223BE6">
        <w:t>The Upper Level of Intake (UL) is a Nutrient Reference Value (NRV) that defines the highest</w:t>
      </w:r>
      <w:r w:rsidRPr="006B2EFB">
        <w:rPr>
          <w:lang w:eastAsia="en-AU" w:bidi="ar-SA"/>
        </w:rPr>
        <w:t xml:space="preserve"> average daily nutrient intake level likely to pose no adverse health effects to almost all individuals in the general population. As intake increases above the UL, the potential risk of adverse effects increases</w:t>
      </w:r>
      <w:r w:rsidR="00A744B5">
        <w:rPr>
          <w:lang w:eastAsia="en-AU" w:bidi="ar-SA"/>
        </w:rPr>
        <w:t xml:space="preserve"> (NHMRC </w:t>
      </w:r>
      <w:r w:rsidR="005D13A9">
        <w:rPr>
          <w:lang w:eastAsia="en-AU" w:bidi="ar-SA"/>
        </w:rPr>
        <w:t xml:space="preserve">and MoH </w:t>
      </w:r>
      <w:r w:rsidR="00A744B5">
        <w:rPr>
          <w:lang w:eastAsia="en-AU" w:bidi="ar-SA"/>
        </w:rPr>
        <w:t>2006</w:t>
      </w:r>
      <w:r w:rsidR="00A52776">
        <w:rPr>
          <w:lang w:eastAsia="en-AU" w:bidi="ar-SA"/>
        </w:rPr>
        <w:t xml:space="preserve"> and</w:t>
      </w:r>
      <w:r w:rsidR="00155301">
        <w:rPr>
          <w:lang w:eastAsia="en-AU" w:bidi="ar-SA"/>
        </w:rPr>
        <w:t xml:space="preserve"> </w:t>
      </w:r>
      <w:hyperlink r:id="rId16" w:history="1">
        <w:r w:rsidR="00155301" w:rsidRPr="00BC5AAA">
          <w:rPr>
            <w:rStyle w:val="Hyperlink"/>
            <w:lang w:eastAsia="en-AU" w:bidi="ar-SA"/>
          </w:rPr>
          <w:t>www.nrv.gov.au</w:t>
        </w:r>
      </w:hyperlink>
      <w:r w:rsidR="00A744B5">
        <w:rPr>
          <w:lang w:eastAsia="en-AU" w:bidi="ar-SA"/>
        </w:rPr>
        <w:t xml:space="preserve">). </w:t>
      </w:r>
    </w:p>
    <w:p w14:paraId="0F45BD66" w14:textId="45A21973" w:rsidR="00453A02" w:rsidRDefault="007A3146" w:rsidP="008733DF">
      <w:pPr>
        <w:spacing w:after="240"/>
        <w:rPr>
          <w:lang w:eastAsia="en-AU" w:bidi="ar-SA"/>
        </w:rPr>
      </w:pPr>
      <w:r w:rsidRPr="006B2EFB">
        <w:rPr>
          <w:lang w:eastAsia="en-AU" w:bidi="ar-SA"/>
        </w:rPr>
        <w:t>In Australia and New Zealand, the UL for n-3 LC-PUFA</w:t>
      </w:r>
      <w:r>
        <w:rPr>
          <w:lang w:eastAsia="en-AU" w:bidi="ar-SA"/>
        </w:rPr>
        <w:t>,</w:t>
      </w:r>
      <w:r w:rsidRPr="006B2EFB">
        <w:rPr>
          <w:lang w:eastAsia="en-AU" w:bidi="ar-SA"/>
        </w:rPr>
        <w:t xml:space="preserve"> de</w:t>
      </w:r>
      <w:r>
        <w:rPr>
          <w:lang w:eastAsia="en-AU" w:bidi="ar-SA"/>
        </w:rPr>
        <w:t>fined as the sum of EPA, DPA</w:t>
      </w:r>
      <w:r w:rsidR="00A744B5">
        <w:rPr>
          <w:lang w:eastAsia="en-AU" w:bidi="ar-SA"/>
        </w:rPr>
        <w:t xml:space="preserve"> and</w:t>
      </w:r>
      <w:r w:rsidR="00273B70">
        <w:rPr>
          <w:lang w:eastAsia="en-AU" w:bidi="ar-SA"/>
        </w:rPr>
        <w:t xml:space="preserve"> </w:t>
      </w:r>
      <w:r w:rsidRPr="006B2EFB">
        <w:rPr>
          <w:lang w:eastAsia="en-AU" w:bidi="ar-SA"/>
        </w:rPr>
        <w:t>DHA</w:t>
      </w:r>
      <w:r>
        <w:rPr>
          <w:lang w:eastAsia="en-AU" w:bidi="ar-SA"/>
        </w:rPr>
        <w:t>,</w:t>
      </w:r>
      <w:r w:rsidRPr="006B2EFB">
        <w:rPr>
          <w:lang w:eastAsia="en-AU" w:bidi="ar-SA"/>
        </w:rPr>
        <w:t xml:space="preserve"> </w:t>
      </w:r>
      <w:r w:rsidR="00950A05">
        <w:rPr>
          <w:lang w:eastAsia="en-AU" w:bidi="ar-SA"/>
        </w:rPr>
        <w:t>is</w:t>
      </w:r>
      <w:r w:rsidRPr="006B2EFB">
        <w:rPr>
          <w:lang w:eastAsia="en-AU" w:bidi="ar-SA"/>
        </w:rPr>
        <w:t xml:space="preserve"> 3 g/day for </w:t>
      </w:r>
      <w:r w:rsidR="00A744B5">
        <w:rPr>
          <w:lang w:eastAsia="en-AU" w:bidi="ar-SA"/>
        </w:rPr>
        <w:t>children, adolescents and adults (NHMRC</w:t>
      </w:r>
      <w:r w:rsidR="005D13A9">
        <w:rPr>
          <w:lang w:eastAsia="en-AU" w:bidi="ar-SA"/>
        </w:rPr>
        <w:t xml:space="preserve"> and MoH</w:t>
      </w:r>
      <w:r w:rsidR="00A744B5">
        <w:rPr>
          <w:lang w:eastAsia="en-AU" w:bidi="ar-SA"/>
        </w:rPr>
        <w:t xml:space="preserve"> 2006)</w:t>
      </w:r>
      <w:r>
        <w:rPr>
          <w:lang w:eastAsia="en-AU" w:bidi="ar-SA"/>
        </w:rPr>
        <w:t xml:space="preserve">. </w:t>
      </w:r>
      <w:r w:rsidR="00453A02">
        <w:t>No ULs have been established for DHA, DPA or EPA alone.</w:t>
      </w:r>
      <w:r w:rsidR="009E0FF7">
        <w:t xml:space="preserve"> The assessment stated: (i)</w:t>
      </w:r>
      <w:r w:rsidR="009E0FF7">
        <w:rPr>
          <w:lang w:eastAsia="en-AU" w:bidi="ar-SA"/>
        </w:rPr>
        <w:t xml:space="preserve"> </w:t>
      </w:r>
      <w:r w:rsidRPr="006B2EFB">
        <w:rPr>
          <w:lang w:eastAsia="en-AU" w:bidi="ar-SA"/>
        </w:rPr>
        <w:t xml:space="preserve">there is some evidence to suggest that high </w:t>
      </w:r>
      <w:r>
        <w:rPr>
          <w:lang w:eastAsia="en-AU" w:bidi="ar-SA"/>
        </w:rPr>
        <w:t>intake</w:t>
      </w:r>
      <w:r w:rsidRPr="006B2EFB">
        <w:rPr>
          <w:lang w:eastAsia="en-AU" w:bidi="ar-SA"/>
        </w:rPr>
        <w:t xml:space="preserve"> of these </w:t>
      </w:r>
      <w:r w:rsidR="00F906AA">
        <w:rPr>
          <w:lang w:eastAsia="en-AU" w:bidi="ar-SA"/>
        </w:rPr>
        <w:t>FA</w:t>
      </w:r>
      <w:r w:rsidRPr="006B2EFB">
        <w:rPr>
          <w:lang w:eastAsia="en-AU" w:bidi="ar-SA"/>
        </w:rPr>
        <w:t>s may impair immune response and prolong bleeding time</w:t>
      </w:r>
      <w:r w:rsidR="009E0FF7">
        <w:rPr>
          <w:lang w:eastAsia="en-AU" w:bidi="ar-SA"/>
        </w:rPr>
        <w:t>;</w:t>
      </w:r>
      <w:r w:rsidRPr="006B2EFB">
        <w:rPr>
          <w:lang w:eastAsia="en-AU" w:bidi="ar-SA"/>
        </w:rPr>
        <w:t xml:space="preserve"> (i</w:t>
      </w:r>
      <w:r w:rsidR="009E0FF7">
        <w:rPr>
          <w:lang w:eastAsia="en-AU" w:bidi="ar-SA"/>
        </w:rPr>
        <w:t>i</w:t>
      </w:r>
      <w:r w:rsidRPr="006B2EFB">
        <w:rPr>
          <w:lang w:eastAsia="en-AU" w:bidi="ar-SA"/>
        </w:rPr>
        <w:t xml:space="preserve">) the immune function tests were performed </w:t>
      </w:r>
      <w:r w:rsidRPr="0024031D">
        <w:rPr>
          <w:i/>
          <w:iCs/>
          <w:lang w:eastAsia="en-AU" w:bidi="ar-SA"/>
        </w:rPr>
        <w:t>in vitro</w:t>
      </w:r>
      <w:r w:rsidRPr="006B2EFB">
        <w:rPr>
          <w:lang w:eastAsia="en-AU" w:bidi="ar-SA"/>
        </w:rPr>
        <w:t xml:space="preserve"> and it is unclear how the results would translate to the </w:t>
      </w:r>
      <w:r w:rsidRPr="00B5734A">
        <w:rPr>
          <w:i/>
          <w:iCs/>
          <w:lang w:eastAsia="en-AU" w:bidi="ar-SA"/>
        </w:rPr>
        <w:t>in vivo</w:t>
      </w:r>
      <w:r w:rsidRPr="006B2EFB">
        <w:rPr>
          <w:lang w:eastAsia="en-AU" w:bidi="ar-SA"/>
        </w:rPr>
        <w:t xml:space="preserve"> situation, and (ii</w:t>
      </w:r>
      <w:r w:rsidR="009E0FF7">
        <w:rPr>
          <w:lang w:eastAsia="en-AU" w:bidi="ar-SA"/>
        </w:rPr>
        <w:t>i</w:t>
      </w:r>
      <w:r w:rsidRPr="006B2EFB">
        <w:rPr>
          <w:lang w:eastAsia="en-AU" w:bidi="ar-SA"/>
        </w:rPr>
        <w:t xml:space="preserve">) prolonged bleeding times have been seen in the Inuit, but it is not known if they were caused by high </w:t>
      </w:r>
      <w:r w:rsidR="00112BE8">
        <w:rPr>
          <w:lang w:eastAsia="en-AU" w:bidi="ar-SA"/>
        </w:rPr>
        <w:t xml:space="preserve">intake </w:t>
      </w:r>
      <w:r w:rsidRPr="006B2EFB">
        <w:rPr>
          <w:lang w:eastAsia="en-AU" w:bidi="ar-SA"/>
        </w:rPr>
        <w:t>of n-3 LC-PUFA</w:t>
      </w:r>
      <w:r w:rsidR="004924E2">
        <w:rPr>
          <w:lang w:eastAsia="en-AU" w:bidi="ar-SA"/>
        </w:rPr>
        <w:t xml:space="preserve"> (NHMRC </w:t>
      </w:r>
      <w:r w:rsidR="005D13A9">
        <w:rPr>
          <w:lang w:eastAsia="en-AU" w:bidi="ar-SA"/>
        </w:rPr>
        <w:t xml:space="preserve">and MoH </w:t>
      </w:r>
      <w:r w:rsidR="004924E2">
        <w:rPr>
          <w:lang w:eastAsia="en-AU" w:bidi="ar-SA"/>
        </w:rPr>
        <w:t>2006)</w:t>
      </w:r>
      <w:r w:rsidRPr="006B2EFB">
        <w:rPr>
          <w:lang w:eastAsia="en-AU" w:bidi="ar-SA"/>
        </w:rPr>
        <w:t>.</w:t>
      </w:r>
      <w:r w:rsidRPr="0020069E">
        <w:rPr>
          <w:lang w:eastAsia="en-AU" w:bidi="ar-SA"/>
        </w:rPr>
        <w:t xml:space="preserve"> </w:t>
      </w:r>
    </w:p>
    <w:p w14:paraId="3011344F" w14:textId="0043C22B" w:rsidR="006B6218" w:rsidRDefault="007A3146" w:rsidP="008733DF">
      <w:pPr>
        <w:spacing w:after="240"/>
      </w:pPr>
      <w:r w:rsidRPr="00160BAA">
        <w:rPr>
          <w:lang w:eastAsia="en-AU" w:bidi="ar-SA"/>
        </w:rPr>
        <w:t xml:space="preserve">The </w:t>
      </w:r>
      <w:r>
        <w:rPr>
          <w:lang w:eastAsia="en-AU" w:bidi="ar-SA"/>
        </w:rPr>
        <w:t xml:space="preserve">UL was based on a </w:t>
      </w:r>
      <w:r w:rsidRPr="00160BAA">
        <w:rPr>
          <w:lang w:eastAsia="en-AU" w:bidi="ar-SA"/>
        </w:rPr>
        <w:t>US Food and Drug Administration</w:t>
      </w:r>
      <w:r>
        <w:rPr>
          <w:lang w:eastAsia="en-AU" w:bidi="ar-SA"/>
        </w:rPr>
        <w:t xml:space="preserve"> (US FDA) assessment which concluded that, when consumption of fish oils results in EPA and DHA intake of 3 g/day or less, there is no significant risk for increased bleeding time beyond the normal range</w:t>
      </w:r>
      <w:r w:rsidR="00A744B5">
        <w:rPr>
          <w:lang w:eastAsia="en-AU" w:bidi="ar-SA"/>
        </w:rPr>
        <w:t xml:space="preserve"> (US FDA 1997)</w:t>
      </w:r>
      <w:r w:rsidRPr="00633236">
        <w:t xml:space="preserve">. </w:t>
      </w:r>
      <w:r w:rsidR="0053073D">
        <w:t xml:space="preserve"> </w:t>
      </w:r>
    </w:p>
    <w:p w14:paraId="2D7C0435" w14:textId="1F028673" w:rsidR="000B55F4" w:rsidRDefault="005F0A59" w:rsidP="008241AA">
      <w:pPr>
        <w:pStyle w:val="Heading2"/>
      </w:pPr>
      <w:bookmarkStart w:id="14" w:name="_Toc102573422"/>
      <w:r>
        <w:t>2.</w:t>
      </w:r>
      <w:r w:rsidR="009A34B4">
        <w:t>4</w:t>
      </w:r>
      <w:r w:rsidR="000B55F4" w:rsidRPr="0087155B">
        <w:tab/>
      </w:r>
      <w:r w:rsidR="00EF0330">
        <w:t>R</w:t>
      </w:r>
      <w:r w:rsidR="00EF0330" w:rsidRPr="00EF0330">
        <w:t>andomised controlled trials</w:t>
      </w:r>
      <w:r w:rsidR="00EF0330">
        <w:t xml:space="preserve"> in </w:t>
      </w:r>
      <w:r w:rsidR="009227A2">
        <w:t xml:space="preserve">non-pregnant </w:t>
      </w:r>
      <w:r w:rsidR="00EF0330">
        <w:t>adults</w:t>
      </w:r>
      <w:bookmarkEnd w:id="14"/>
    </w:p>
    <w:p w14:paraId="31F7984B" w14:textId="5F871A0A" w:rsidR="0076783A" w:rsidRDefault="00046DC4" w:rsidP="0076783A">
      <w:r w:rsidRPr="00046DC4">
        <w:t>Abdelhamid et al. (2020)</w:t>
      </w:r>
      <w:r w:rsidR="006B30BC">
        <w:t xml:space="preserve"> </w:t>
      </w:r>
      <w:r w:rsidR="0076783A">
        <w:t>conducted a systematic review of</w:t>
      </w:r>
      <w:r w:rsidR="009F3876">
        <w:t xml:space="preserve"> </w:t>
      </w:r>
      <w:r w:rsidR="00212E88">
        <w:t xml:space="preserve">randomised controlled trials (RCTs) reporting </w:t>
      </w:r>
      <w:r w:rsidR="00AA5B53">
        <w:t xml:space="preserve">the </w:t>
      </w:r>
      <w:r w:rsidR="009F3876">
        <w:t xml:space="preserve">effects of increased intake of </w:t>
      </w:r>
      <w:r w:rsidR="00AE7F87" w:rsidRPr="00AE7F87">
        <w:t>n-3 LC-PUFA</w:t>
      </w:r>
      <w:r w:rsidR="00AA5B53">
        <w:t xml:space="preserve"> on </w:t>
      </w:r>
      <w:r w:rsidR="004937B0">
        <w:t xml:space="preserve">prevention of </w:t>
      </w:r>
      <w:r w:rsidR="00AA5B53">
        <w:t>cardiovascular disease</w:t>
      </w:r>
      <w:r w:rsidR="009F3876">
        <w:t xml:space="preserve">. </w:t>
      </w:r>
      <w:r w:rsidR="00DA3138">
        <w:t xml:space="preserve">This </w:t>
      </w:r>
      <w:r w:rsidR="00421644">
        <w:t xml:space="preserve">Cochrane </w:t>
      </w:r>
      <w:r w:rsidR="00DA3138">
        <w:t xml:space="preserve">review, which is an update of Abdelhamid </w:t>
      </w:r>
      <w:r w:rsidR="004A34FA">
        <w:t xml:space="preserve">et al. </w:t>
      </w:r>
      <w:r w:rsidR="00DA3138">
        <w:t xml:space="preserve">(2018), was conducted to include results from three recent large-scale and long-term trials of </w:t>
      </w:r>
      <w:r w:rsidR="00AE7F87">
        <w:t>n-3 LC-PUFA</w:t>
      </w:r>
      <w:r w:rsidR="005C2182">
        <w:t xml:space="preserve">, and </w:t>
      </w:r>
      <w:r w:rsidR="005C2182" w:rsidRPr="005C2182">
        <w:t>included detailed analyses of both the potential health benefits and adverse effects reported in</w:t>
      </w:r>
      <w:r w:rsidR="005C2182">
        <w:t xml:space="preserve"> </w:t>
      </w:r>
      <w:r w:rsidR="005C2182" w:rsidRPr="005C2182">
        <w:t xml:space="preserve">these trials. </w:t>
      </w:r>
      <w:r w:rsidR="0076783A">
        <w:t xml:space="preserve">The review update was requested by and reviewed by the </w:t>
      </w:r>
      <w:r w:rsidR="0076783A" w:rsidRPr="0076783A">
        <w:t>WHO Nutrition Guidance Expert Advisory Group (NUGAG)</w:t>
      </w:r>
      <w:r w:rsidR="0076783A">
        <w:t>. NUGAG considered the following as key outcomes to inform their planned dietary</w:t>
      </w:r>
      <w:r w:rsidR="004937B0">
        <w:t xml:space="preserve"> </w:t>
      </w:r>
      <w:r w:rsidR="0076783A">
        <w:t>guidance</w:t>
      </w:r>
      <w:r w:rsidR="000D182D">
        <w:t>:</w:t>
      </w:r>
    </w:p>
    <w:p w14:paraId="1DF9906E" w14:textId="77777777" w:rsidR="0076783A" w:rsidRPr="0076783A" w:rsidRDefault="0076783A" w:rsidP="006318B0">
      <w:pPr>
        <w:rPr>
          <w:sz w:val="12"/>
          <w:szCs w:val="12"/>
        </w:rPr>
      </w:pPr>
    </w:p>
    <w:p w14:paraId="029A4739" w14:textId="0A1A7E92" w:rsidR="0076783A" w:rsidRDefault="00640FFF" w:rsidP="00A145CE">
      <w:pPr>
        <w:pStyle w:val="ListParagraph"/>
        <w:numPr>
          <w:ilvl w:val="0"/>
          <w:numId w:val="5"/>
        </w:numPr>
        <w:spacing w:after="40"/>
        <w:ind w:left="714" w:hanging="357"/>
      </w:pPr>
      <w:r>
        <w:t>a</w:t>
      </w:r>
      <w:r w:rsidR="0076783A">
        <w:t>ll-cause mortality</w:t>
      </w:r>
      <w:r w:rsidR="006318B0">
        <w:t>;</w:t>
      </w:r>
    </w:p>
    <w:p w14:paraId="73AAFE3E" w14:textId="64F50B8B" w:rsidR="0076783A" w:rsidRDefault="00640FFF" w:rsidP="00A145CE">
      <w:pPr>
        <w:pStyle w:val="ListParagraph"/>
        <w:numPr>
          <w:ilvl w:val="0"/>
          <w:numId w:val="5"/>
        </w:numPr>
        <w:spacing w:after="40"/>
        <w:ind w:left="714" w:hanging="357"/>
      </w:pPr>
      <w:r>
        <w:t>c</w:t>
      </w:r>
      <w:r w:rsidR="0076783A">
        <w:t>ardiovascular disease mortality</w:t>
      </w:r>
      <w:r w:rsidR="006318B0">
        <w:t>;</w:t>
      </w:r>
    </w:p>
    <w:p w14:paraId="01E874A2" w14:textId="61CF2689" w:rsidR="0076783A" w:rsidRDefault="00640FFF" w:rsidP="00A145CE">
      <w:pPr>
        <w:pStyle w:val="ListParagraph"/>
        <w:numPr>
          <w:ilvl w:val="0"/>
          <w:numId w:val="5"/>
        </w:numPr>
        <w:spacing w:after="40"/>
        <w:ind w:left="714" w:hanging="357"/>
      </w:pPr>
      <w:r>
        <w:t>c</w:t>
      </w:r>
      <w:r w:rsidR="0076783A">
        <w:t>ardiovascular disease events</w:t>
      </w:r>
      <w:r w:rsidR="006318B0">
        <w:t>;</w:t>
      </w:r>
    </w:p>
    <w:p w14:paraId="4DCF28D1" w14:textId="7D5BFACE" w:rsidR="0076783A" w:rsidRDefault="00640FFF" w:rsidP="00A145CE">
      <w:pPr>
        <w:pStyle w:val="ListParagraph"/>
        <w:numPr>
          <w:ilvl w:val="0"/>
          <w:numId w:val="5"/>
        </w:numPr>
        <w:spacing w:after="40"/>
        <w:ind w:left="714" w:hanging="357"/>
      </w:pPr>
      <w:r>
        <w:t>c</w:t>
      </w:r>
      <w:r w:rsidR="0076783A">
        <w:t>oronary heart disease mortality</w:t>
      </w:r>
      <w:r w:rsidR="006318B0">
        <w:t>;</w:t>
      </w:r>
    </w:p>
    <w:p w14:paraId="1F5DBC16" w14:textId="1046BF4B" w:rsidR="0076783A" w:rsidRDefault="00640FFF" w:rsidP="00A145CE">
      <w:pPr>
        <w:pStyle w:val="ListParagraph"/>
        <w:numPr>
          <w:ilvl w:val="0"/>
          <w:numId w:val="5"/>
        </w:numPr>
        <w:spacing w:after="40"/>
        <w:ind w:left="714" w:hanging="357"/>
      </w:pPr>
      <w:r>
        <w:t>c</w:t>
      </w:r>
      <w:r w:rsidR="0076783A">
        <w:t>oronary heart disease events</w:t>
      </w:r>
      <w:r w:rsidR="006318B0">
        <w:t>;</w:t>
      </w:r>
    </w:p>
    <w:p w14:paraId="6A056085" w14:textId="57FF84EC" w:rsidR="0076783A" w:rsidRDefault="00640FFF" w:rsidP="00A145CE">
      <w:pPr>
        <w:pStyle w:val="ListParagraph"/>
        <w:numPr>
          <w:ilvl w:val="0"/>
          <w:numId w:val="5"/>
        </w:numPr>
        <w:spacing w:after="40"/>
        <w:ind w:left="714" w:hanging="357"/>
      </w:pPr>
      <w:r>
        <w:t>s</w:t>
      </w:r>
      <w:r w:rsidR="0076783A">
        <w:t>troke</w:t>
      </w:r>
      <w:r w:rsidR="006318B0">
        <w:t>;</w:t>
      </w:r>
    </w:p>
    <w:p w14:paraId="059AEAC6" w14:textId="2CBC3114" w:rsidR="0076783A" w:rsidRDefault="00640FFF" w:rsidP="00A145CE">
      <w:pPr>
        <w:pStyle w:val="ListParagraph"/>
        <w:numPr>
          <w:ilvl w:val="0"/>
          <w:numId w:val="5"/>
        </w:numPr>
        <w:spacing w:after="40"/>
        <w:ind w:left="714" w:hanging="357"/>
      </w:pPr>
      <w:r>
        <w:t>a</w:t>
      </w:r>
      <w:r w:rsidR="0076783A">
        <w:t>rrhythmia (atrial fibrillation)</w:t>
      </w:r>
      <w:r w:rsidR="006318B0">
        <w:t>;</w:t>
      </w:r>
    </w:p>
    <w:p w14:paraId="2FDD9D2F" w14:textId="46EC0E70" w:rsidR="0076783A" w:rsidRDefault="00640FFF" w:rsidP="00A145CE">
      <w:pPr>
        <w:pStyle w:val="ListParagraph"/>
        <w:numPr>
          <w:ilvl w:val="0"/>
          <w:numId w:val="5"/>
        </w:numPr>
        <w:spacing w:after="40"/>
        <w:ind w:left="714" w:hanging="357"/>
      </w:pPr>
      <w:r>
        <w:t>s</w:t>
      </w:r>
      <w:r w:rsidR="0076783A">
        <w:t>erum lipids including total cholesterol, fasting triglycerides, high-density lipoprotein (HDL) and low-density lipoprotein (LDL)</w:t>
      </w:r>
      <w:r w:rsidR="006318B0">
        <w:t>;</w:t>
      </w:r>
    </w:p>
    <w:p w14:paraId="44AC7B15" w14:textId="20321ED3" w:rsidR="001B1C99" w:rsidRDefault="00640FFF" w:rsidP="00C35CD9">
      <w:pPr>
        <w:pStyle w:val="ListParagraph"/>
        <w:numPr>
          <w:ilvl w:val="0"/>
          <w:numId w:val="5"/>
        </w:numPr>
        <w:ind w:left="714" w:hanging="357"/>
      </w:pPr>
      <w:r>
        <w:t>m</w:t>
      </w:r>
      <w:r w:rsidR="0076783A">
        <w:t>easures of adiposity (body weight and body mass index (BMI)</w:t>
      </w:r>
      <w:r w:rsidR="006318B0">
        <w:t>).</w:t>
      </w:r>
    </w:p>
    <w:p w14:paraId="12FEC558" w14:textId="060319EC" w:rsidR="0076783A" w:rsidRDefault="00212E88" w:rsidP="008733DF">
      <w:pPr>
        <w:spacing w:before="240" w:after="240"/>
      </w:pPr>
      <w:r>
        <w:t xml:space="preserve">Trials </w:t>
      </w:r>
      <w:r w:rsidR="009F3876">
        <w:t xml:space="preserve">were included </w:t>
      </w:r>
      <w:r w:rsidR="005C2182">
        <w:t xml:space="preserve">in the review </w:t>
      </w:r>
      <w:r w:rsidR="009F3876">
        <w:t xml:space="preserve">if they lasted at least 12 months and compared supplementation or advice to increase </w:t>
      </w:r>
      <w:r w:rsidR="00AE7F87">
        <w:t>n-3 LC-PUFA</w:t>
      </w:r>
      <w:r w:rsidR="009F3876">
        <w:t xml:space="preserve"> or ALA intake, or both, versus usual or lower intake. A total of 86 RCTs (162,796 participa</w:t>
      </w:r>
      <w:r w:rsidR="005C2182">
        <w:t>nts) were included</w:t>
      </w:r>
      <w:r w:rsidR="009F3876">
        <w:t>. Trials were of 12 to 88 months' duration and included adults at varying cardiovascular risk, mainly in high-income coun</w:t>
      </w:r>
      <w:r w:rsidR="00F943AF">
        <w:t>tries</w:t>
      </w:r>
      <w:r w:rsidR="00926058" w:rsidRPr="00926058">
        <w:t>.</w:t>
      </w:r>
      <w:r w:rsidR="00C35CD9" w:rsidRPr="00926058">
        <w:t xml:space="preserve"> </w:t>
      </w:r>
      <w:r w:rsidR="00926058" w:rsidRPr="00926058">
        <w:t>P</w:t>
      </w:r>
      <w:r w:rsidR="00C35CD9" w:rsidRPr="00926058">
        <w:t>articipants who were pregnant</w:t>
      </w:r>
      <w:r w:rsidR="00926058" w:rsidRPr="00926058">
        <w:t xml:space="preserve"> were excluded from the review</w:t>
      </w:r>
      <w:r w:rsidR="00F943AF" w:rsidRPr="00926058">
        <w:t xml:space="preserve">. </w:t>
      </w:r>
    </w:p>
    <w:p w14:paraId="4DB27E4F" w14:textId="4AB0B29C" w:rsidR="007C4849" w:rsidRDefault="00F943AF" w:rsidP="008733DF">
      <w:pPr>
        <w:spacing w:after="240"/>
      </w:pPr>
      <w:r>
        <w:t xml:space="preserve">Most trials assessed </w:t>
      </w:r>
      <w:r w:rsidRPr="00F943AF">
        <w:t xml:space="preserve">n-3 LC-PUFA </w:t>
      </w:r>
      <w:r w:rsidR="009F3876">
        <w:t>supplementation with caps</w:t>
      </w:r>
      <w:r w:rsidR="002B3122">
        <w:t xml:space="preserve">ules, but some used </w:t>
      </w:r>
      <w:r w:rsidR="00AE7F87">
        <w:t>n-3 LC-PUFA</w:t>
      </w:r>
      <w:r w:rsidR="000A0626">
        <w:t xml:space="preserve">-rich </w:t>
      </w:r>
      <w:r w:rsidR="009F3876">
        <w:t xml:space="preserve">foods or dietary advice compared to placebo or usual diet. </w:t>
      </w:r>
      <w:r w:rsidR="00AE7F87">
        <w:t>n-3 LC-PUFA</w:t>
      </w:r>
      <w:r w:rsidR="005C2182">
        <w:t xml:space="preserve"> doses ranged from 0.5 </w:t>
      </w:r>
      <w:r w:rsidR="004054C0">
        <w:t>g/day to more than 5 g/day (19 RCTs gave at least 3 </w:t>
      </w:r>
      <w:r w:rsidR="009F3876">
        <w:t>g</w:t>
      </w:r>
      <w:r w:rsidR="004746DF">
        <w:t xml:space="preserve">/day, the value of the </w:t>
      </w:r>
      <w:r w:rsidR="004746DF">
        <w:lastRenderedPageBreak/>
        <w:t>Upper Level of Intake</w:t>
      </w:r>
      <w:r w:rsidR="009F3876">
        <w:t>).</w:t>
      </w:r>
      <w:r w:rsidR="007C4849">
        <w:t xml:space="preserve"> </w:t>
      </w:r>
    </w:p>
    <w:p w14:paraId="3768595B" w14:textId="44963ECD" w:rsidR="0082340D" w:rsidRDefault="00312B2E" w:rsidP="008733DF">
      <w:pPr>
        <w:spacing w:after="240"/>
      </w:pPr>
      <w:r>
        <w:t xml:space="preserve">The </w:t>
      </w:r>
      <w:r w:rsidR="005C2182">
        <w:t>analyses</w:t>
      </w:r>
      <w:r w:rsidR="00FA74AD">
        <w:t xml:space="preserve"> conducted for</w:t>
      </w:r>
      <w:r w:rsidR="007C4849">
        <w:t xml:space="preserve"> </w:t>
      </w:r>
      <w:r w:rsidR="0076783A">
        <w:t>key</w:t>
      </w:r>
      <w:r w:rsidR="007C4849">
        <w:t xml:space="preserve"> outcomes </w:t>
      </w:r>
      <w:r w:rsidR="008A26D7">
        <w:t>(Table 2</w:t>
      </w:r>
      <w:r>
        <w:t xml:space="preserve">) </w:t>
      </w:r>
      <w:r w:rsidR="00D97B50">
        <w:t xml:space="preserve">suggested little or no effect of increasing </w:t>
      </w:r>
      <w:r w:rsidR="00AE7F87">
        <w:t>n-3 LC-PUFA</w:t>
      </w:r>
      <w:r w:rsidR="00D97B50">
        <w:t xml:space="preserve"> </w:t>
      </w:r>
      <w:r w:rsidR="00E157FA">
        <w:t xml:space="preserve">intake </w:t>
      </w:r>
      <w:r w:rsidR="00D97B50">
        <w:t>on all-cause morta</w:t>
      </w:r>
      <w:r w:rsidR="004054C0">
        <w:t xml:space="preserve">lity, </w:t>
      </w:r>
      <w:r w:rsidR="00D97B50">
        <w:t>cardiovascular mortality, cardiovascular events</w:t>
      </w:r>
      <w:r w:rsidR="004054C0">
        <w:t xml:space="preserve">, </w:t>
      </w:r>
      <w:r w:rsidR="00D97B50">
        <w:t>stroke or arrhythmia</w:t>
      </w:r>
      <w:r w:rsidR="008267D1">
        <w:t>,</w:t>
      </w:r>
      <w:r w:rsidR="004054C0">
        <w:t xml:space="preserve"> </w:t>
      </w:r>
      <w:r w:rsidR="00E157FA">
        <w:t>while i</w:t>
      </w:r>
      <w:r w:rsidR="00D97B50">
        <w:t xml:space="preserve">ncreasing </w:t>
      </w:r>
      <w:r w:rsidR="00AE7F87">
        <w:t>n-3 LC-PUFA</w:t>
      </w:r>
      <w:r w:rsidR="00D97B50">
        <w:t xml:space="preserve"> </w:t>
      </w:r>
      <w:r w:rsidR="00E157FA">
        <w:t xml:space="preserve">intake </w:t>
      </w:r>
      <w:r w:rsidR="00D97B50">
        <w:t>may slightly reduce coronary heart disease mortality and coronary heart disease events</w:t>
      </w:r>
      <w:r w:rsidR="00E157FA">
        <w:t>.</w:t>
      </w:r>
      <w:r w:rsidR="00D97B50">
        <w:t xml:space="preserve"> </w:t>
      </w:r>
      <w:r w:rsidR="00B10D58" w:rsidRPr="00B10D58">
        <w:t xml:space="preserve">Increasing n-3 LC-PUFA intake had little or no effect on body weight, </w:t>
      </w:r>
      <w:r w:rsidR="00B10D58">
        <w:t xml:space="preserve">body mass index and serum lipids. </w:t>
      </w:r>
      <w:r w:rsidR="00FE2AF5">
        <w:t>The effect of n-3 LC-PUFA on bleeding was concluded by the authors to be unclear due to very low certainty evidence, however the 95% confidence interval (CI) for the risk ratio spanned the null value of 1.0. Evidence for pulmonary embolus or deep vein thrombosis (DVT) was also assessed as being of very low-certainty, however</w:t>
      </w:r>
      <w:r w:rsidR="00FE2AF5" w:rsidRPr="008A26D7">
        <w:t xml:space="preserve"> </w:t>
      </w:r>
      <w:r w:rsidR="00FE2AF5">
        <w:t>t</w:t>
      </w:r>
      <w:r w:rsidR="00FE2AF5" w:rsidRPr="008A26D7">
        <w:t xml:space="preserve">he 95% CI </w:t>
      </w:r>
      <w:r w:rsidR="00FE2AF5">
        <w:t>of the risk ratio</w:t>
      </w:r>
      <w:r w:rsidR="00FE2AF5" w:rsidRPr="008A26D7">
        <w:t xml:space="preserve"> </w:t>
      </w:r>
      <w:r w:rsidR="00FE2AF5">
        <w:t xml:space="preserve">also </w:t>
      </w:r>
      <w:r w:rsidR="00FE2AF5" w:rsidRPr="008A26D7">
        <w:t>spanned the null</w:t>
      </w:r>
      <w:r w:rsidR="00FE2AF5">
        <w:t xml:space="preserve">. </w:t>
      </w:r>
      <w:r w:rsidR="0082340D">
        <w:t>Overall, effects did not differ by trial duration or n-3 LC-PUFA intake in pre-planned sub-group and</w:t>
      </w:r>
      <w:r w:rsidR="0082340D" w:rsidRPr="0082340D">
        <w:t xml:space="preserve"> meta-regression</w:t>
      </w:r>
      <w:r w:rsidR="0082340D">
        <w:t xml:space="preserve"> analyses.</w:t>
      </w:r>
    </w:p>
    <w:p w14:paraId="3F396F14" w14:textId="64050B22" w:rsidR="00C80916" w:rsidRDefault="00B10D58" w:rsidP="008733DF">
      <w:pPr>
        <w:spacing w:after="240"/>
      </w:pPr>
      <w:r>
        <w:t xml:space="preserve">Regarding </w:t>
      </w:r>
      <w:r w:rsidR="00E973C9">
        <w:t>non-serious side effects</w:t>
      </w:r>
      <w:r w:rsidR="0082340D">
        <w:t xml:space="preserve"> (Table 3)</w:t>
      </w:r>
      <w:r w:rsidR="00E973C9">
        <w:t xml:space="preserve">, </w:t>
      </w:r>
      <w:r w:rsidR="00C4360C" w:rsidRPr="00C4360C">
        <w:t>95% confidence interval</w:t>
      </w:r>
      <w:r w:rsidR="00C4360C">
        <w:t xml:space="preserve">s for risk ratios spanned the null value for all side effects, and there was no suggestion </w:t>
      </w:r>
      <w:r w:rsidR="00B57846">
        <w:t xml:space="preserve">that </w:t>
      </w:r>
      <w:r w:rsidR="00C4360C" w:rsidRPr="00C4360C">
        <w:t xml:space="preserve">increasing n-3 LC-PUFA intake </w:t>
      </w:r>
      <w:r w:rsidR="0082340D">
        <w:t>was associated with</w:t>
      </w:r>
      <w:r w:rsidR="00C4360C">
        <w:t xml:space="preserve"> </w:t>
      </w:r>
      <w:r w:rsidR="0082340D">
        <w:t xml:space="preserve">an </w:t>
      </w:r>
      <w:r w:rsidR="00C4360C">
        <w:t>i</w:t>
      </w:r>
      <w:r w:rsidR="0082340D">
        <w:t>ncrease in combined</w:t>
      </w:r>
      <w:r w:rsidR="00B57846">
        <w:t xml:space="preserve"> </w:t>
      </w:r>
      <w:r w:rsidR="00C4360C">
        <w:t>side effects (risk</w:t>
      </w:r>
      <w:r w:rsidR="00265E5E">
        <w:t xml:space="preserve"> ratio</w:t>
      </w:r>
      <w:r w:rsidR="00B57846">
        <w:t xml:space="preserve"> 1.01, 95% CI 0.95 to 1.08</w:t>
      </w:r>
      <w:r w:rsidR="00C4360C">
        <w:t>).</w:t>
      </w:r>
      <w:r>
        <w:t xml:space="preserve"> </w:t>
      </w:r>
    </w:p>
    <w:p w14:paraId="7D3B6D5C" w14:textId="40536254" w:rsidR="00C80916" w:rsidRDefault="008A26D7" w:rsidP="00640FFF">
      <w:pPr>
        <w:rPr>
          <w:b/>
        </w:rPr>
      </w:pPr>
      <w:r>
        <w:rPr>
          <w:b/>
        </w:rPr>
        <w:t>Table 2</w:t>
      </w:r>
      <w:r w:rsidR="004054C0" w:rsidRPr="00E157FA">
        <w:rPr>
          <w:b/>
        </w:rPr>
        <w:t xml:space="preserve">: </w:t>
      </w:r>
      <w:r w:rsidR="007C4849">
        <w:rPr>
          <w:b/>
        </w:rPr>
        <w:t>E</w:t>
      </w:r>
      <w:r w:rsidR="007C4849" w:rsidRPr="007C4849">
        <w:rPr>
          <w:b/>
        </w:rPr>
        <w:t>ffect</w:t>
      </w:r>
      <w:r w:rsidR="007C4849">
        <w:rPr>
          <w:b/>
        </w:rPr>
        <w:t>s</w:t>
      </w:r>
      <w:r w:rsidR="007C4849" w:rsidRPr="007C4849">
        <w:rPr>
          <w:b/>
        </w:rPr>
        <w:t xml:space="preserve"> of increasing n-3 LC-PUFA intake</w:t>
      </w:r>
      <w:r w:rsidR="007C4849">
        <w:rPr>
          <w:b/>
        </w:rPr>
        <w:t xml:space="preserve"> on </w:t>
      </w:r>
      <w:r w:rsidR="0076783A">
        <w:rPr>
          <w:b/>
        </w:rPr>
        <w:t>key</w:t>
      </w:r>
      <w:r w:rsidR="007C4849">
        <w:rPr>
          <w:b/>
        </w:rPr>
        <w:t xml:space="preserve"> health outcomes</w:t>
      </w:r>
    </w:p>
    <w:tbl>
      <w:tblPr>
        <w:tblStyle w:val="TableGrid"/>
        <w:tblW w:w="8393" w:type="dxa"/>
        <w:tblLook w:val="04A0" w:firstRow="1" w:lastRow="0" w:firstColumn="1" w:lastColumn="0" w:noHBand="0" w:noVBand="1"/>
        <w:tblCaption w:val="Table 2"/>
        <w:tblDescription w:val="Effects of increasing n-3 LC-PUFA intake on key health outcomes"/>
      </w:tblPr>
      <w:tblGrid>
        <w:gridCol w:w="3681"/>
        <w:gridCol w:w="1365"/>
        <w:gridCol w:w="1933"/>
        <w:gridCol w:w="1414"/>
      </w:tblGrid>
      <w:tr w:rsidR="00C80916" w14:paraId="14F480AD" w14:textId="77777777" w:rsidTr="1D834C30">
        <w:trPr>
          <w:tblHeader/>
        </w:trPr>
        <w:tc>
          <w:tcPr>
            <w:tcW w:w="3681" w:type="dxa"/>
            <w:shd w:val="clear" w:color="auto" w:fill="9BBB59" w:themeFill="accent3"/>
            <w:vAlign w:val="center"/>
          </w:tcPr>
          <w:p w14:paraId="1E807DDB" w14:textId="77777777" w:rsidR="00C80916" w:rsidRDefault="00C80916" w:rsidP="00640FFF">
            <w:pPr>
              <w:jc w:val="center"/>
              <w:rPr>
                <w:b/>
              </w:rPr>
            </w:pPr>
          </w:p>
        </w:tc>
        <w:tc>
          <w:tcPr>
            <w:tcW w:w="1365" w:type="dxa"/>
            <w:shd w:val="clear" w:color="auto" w:fill="9BBB59" w:themeFill="accent3"/>
            <w:vAlign w:val="center"/>
          </w:tcPr>
          <w:p w14:paraId="42690231" w14:textId="07F19BF1" w:rsidR="00C80916" w:rsidRDefault="00C80916" w:rsidP="00640FFF">
            <w:pPr>
              <w:jc w:val="center"/>
              <w:rPr>
                <w:b/>
              </w:rPr>
            </w:pPr>
            <w:r w:rsidRPr="002B1D39">
              <w:rPr>
                <w:b/>
                <w:sz w:val="20"/>
                <w:szCs w:val="20"/>
              </w:rPr>
              <w:t>Risk ratio</w:t>
            </w:r>
          </w:p>
        </w:tc>
        <w:tc>
          <w:tcPr>
            <w:tcW w:w="1933" w:type="dxa"/>
            <w:shd w:val="clear" w:color="auto" w:fill="9BBB59" w:themeFill="accent3"/>
            <w:vAlign w:val="center"/>
          </w:tcPr>
          <w:p w14:paraId="5185DE27" w14:textId="5AF813E3" w:rsidR="00C80916" w:rsidRDefault="00C80916" w:rsidP="00640FFF">
            <w:pPr>
              <w:jc w:val="center"/>
              <w:rPr>
                <w:b/>
              </w:rPr>
            </w:pPr>
            <w:r w:rsidRPr="002B1D39">
              <w:rPr>
                <w:b/>
                <w:sz w:val="20"/>
                <w:szCs w:val="20"/>
              </w:rPr>
              <w:t>95% confidence interval</w:t>
            </w:r>
          </w:p>
        </w:tc>
        <w:tc>
          <w:tcPr>
            <w:tcW w:w="1414" w:type="dxa"/>
            <w:shd w:val="clear" w:color="auto" w:fill="9BBB59" w:themeFill="accent3"/>
            <w:vAlign w:val="center"/>
          </w:tcPr>
          <w:p w14:paraId="17A85B88" w14:textId="7A1FD32A" w:rsidR="00C80916" w:rsidRDefault="00C80916" w:rsidP="00640FFF">
            <w:pPr>
              <w:jc w:val="center"/>
              <w:rPr>
                <w:b/>
              </w:rPr>
            </w:pPr>
            <w:r w:rsidRPr="002B1D39">
              <w:rPr>
                <w:b/>
                <w:sz w:val="20"/>
                <w:szCs w:val="20"/>
              </w:rPr>
              <w:t>Certainty</w:t>
            </w:r>
            <w:r>
              <w:rPr>
                <w:b/>
                <w:sz w:val="20"/>
                <w:szCs w:val="20"/>
              </w:rPr>
              <w:t xml:space="preserve"> of evidence</w:t>
            </w:r>
            <w:r w:rsidRPr="00340B19">
              <w:rPr>
                <w:b/>
                <w:sz w:val="16"/>
                <w:szCs w:val="16"/>
                <w:vertAlign w:val="superscript"/>
              </w:rPr>
              <w:t xml:space="preserve"> </w:t>
            </w:r>
            <w:r>
              <w:rPr>
                <w:b/>
                <w:sz w:val="20"/>
                <w:szCs w:val="20"/>
                <w:vertAlign w:val="superscript"/>
              </w:rPr>
              <w:t>1</w:t>
            </w:r>
          </w:p>
        </w:tc>
      </w:tr>
      <w:tr w:rsidR="00C80916" w14:paraId="1B1A2A1E" w14:textId="77777777" w:rsidTr="1D834C30">
        <w:tc>
          <w:tcPr>
            <w:tcW w:w="3681" w:type="dxa"/>
          </w:tcPr>
          <w:p w14:paraId="02F92F77" w14:textId="31F4DB15" w:rsidR="00C80916" w:rsidRDefault="00C80916" w:rsidP="00C80916">
            <w:pPr>
              <w:rPr>
                <w:b/>
              </w:rPr>
            </w:pPr>
            <w:r w:rsidRPr="002B1D39">
              <w:rPr>
                <w:b/>
                <w:sz w:val="20"/>
                <w:szCs w:val="20"/>
              </w:rPr>
              <w:t>All-cause mortality</w:t>
            </w:r>
          </w:p>
        </w:tc>
        <w:tc>
          <w:tcPr>
            <w:tcW w:w="1365" w:type="dxa"/>
          </w:tcPr>
          <w:p w14:paraId="2C9E87B4" w14:textId="198592F7" w:rsidR="00C80916" w:rsidRDefault="00C80916" w:rsidP="00C80916">
            <w:pPr>
              <w:rPr>
                <w:b/>
              </w:rPr>
            </w:pPr>
            <w:r w:rsidRPr="002B1D39">
              <w:rPr>
                <w:sz w:val="20"/>
                <w:szCs w:val="20"/>
              </w:rPr>
              <w:t>0.97</w:t>
            </w:r>
          </w:p>
        </w:tc>
        <w:tc>
          <w:tcPr>
            <w:tcW w:w="1933" w:type="dxa"/>
          </w:tcPr>
          <w:p w14:paraId="58C8C2F5" w14:textId="3463DB82" w:rsidR="00C80916" w:rsidRDefault="00C80916" w:rsidP="00C80916">
            <w:pPr>
              <w:rPr>
                <w:b/>
              </w:rPr>
            </w:pPr>
            <w:r w:rsidRPr="002B1D39">
              <w:rPr>
                <w:sz w:val="20"/>
                <w:szCs w:val="20"/>
              </w:rPr>
              <w:t>0.93 to 1.01</w:t>
            </w:r>
          </w:p>
        </w:tc>
        <w:tc>
          <w:tcPr>
            <w:tcW w:w="1414" w:type="dxa"/>
          </w:tcPr>
          <w:p w14:paraId="28EC152F" w14:textId="75E8D288" w:rsidR="00C80916" w:rsidRDefault="00C80916" w:rsidP="00C80916">
            <w:pPr>
              <w:rPr>
                <w:b/>
              </w:rPr>
            </w:pPr>
            <w:r>
              <w:rPr>
                <w:sz w:val="20"/>
                <w:szCs w:val="20"/>
              </w:rPr>
              <w:t>High</w:t>
            </w:r>
          </w:p>
        </w:tc>
      </w:tr>
      <w:tr w:rsidR="00C80916" w14:paraId="2399F8C1" w14:textId="77777777" w:rsidTr="1D834C30">
        <w:tc>
          <w:tcPr>
            <w:tcW w:w="3681" w:type="dxa"/>
            <w:shd w:val="clear" w:color="auto" w:fill="EAF1DD" w:themeFill="accent3" w:themeFillTint="33"/>
          </w:tcPr>
          <w:p w14:paraId="55CE6FCD" w14:textId="7FE1901B" w:rsidR="00C80916" w:rsidRDefault="00C80916" w:rsidP="00C80916">
            <w:pPr>
              <w:rPr>
                <w:b/>
              </w:rPr>
            </w:pPr>
            <w:r w:rsidRPr="002B1D39">
              <w:rPr>
                <w:b/>
                <w:sz w:val="20"/>
                <w:szCs w:val="20"/>
              </w:rPr>
              <w:t xml:space="preserve">Cardiovascular </w:t>
            </w:r>
            <w:r>
              <w:rPr>
                <w:b/>
                <w:sz w:val="20"/>
                <w:szCs w:val="20"/>
              </w:rPr>
              <w:t xml:space="preserve">disease </w:t>
            </w:r>
            <w:r w:rsidRPr="002B1D39">
              <w:rPr>
                <w:b/>
                <w:sz w:val="20"/>
                <w:szCs w:val="20"/>
              </w:rPr>
              <w:t>mortality</w:t>
            </w:r>
          </w:p>
        </w:tc>
        <w:tc>
          <w:tcPr>
            <w:tcW w:w="1365" w:type="dxa"/>
            <w:shd w:val="clear" w:color="auto" w:fill="EAF1DD" w:themeFill="accent3" w:themeFillTint="33"/>
          </w:tcPr>
          <w:p w14:paraId="6BA4006F" w14:textId="0B6260CF" w:rsidR="00C80916" w:rsidRDefault="00C80916" w:rsidP="00C80916">
            <w:pPr>
              <w:rPr>
                <w:b/>
              </w:rPr>
            </w:pPr>
            <w:r w:rsidRPr="002B1D39">
              <w:rPr>
                <w:sz w:val="20"/>
                <w:szCs w:val="20"/>
              </w:rPr>
              <w:t>0.92</w:t>
            </w:r>
          </w:p>
        </w:tc>
        <w:tc>
          <w:tcPr>
            <w:tcW w:w="1933" w:type="dxa"/>
            <w:shd w:val="clear" w:color="auto" w:fill="EAF1DD" w:themeFill="accent3" w:themeFillTint="33"/>
          </w:tcPr>
          <w:p w14:paraId="0DB190EC" w14:textId="5828A88F" w:rsidR="00C80916" w:rsidRDefault="00C80916" w:rsidP="00C80916">
            <w:pPr>
              <w:rPr>
                <w:b/>
              </w:rPr>
            </w:pPr>
            <w:r w:rsidRPr="002B1D39">
              <w:rPr>
                <w:sz w:val="20"/>
                <w:szCs w:val="20"/>
              </w:rPr>
              <w:t>0.86 to 0.99</w:t>
            </w:r>
          </w:p>
        </w:tc>
        <w:tc>
          <w:tcPr>
            <w:tcW w:w="1414" w:type="dxa"/>
            <w:shd w:val="clear" w:color="auto" w:fill="EAF1DD" w:themeFill="accent3" w:themeFillTint="33"/>
          </w:tcPr>
          <w:p w14:paraId="7011651B" w14:textId="2AD75B1B" w:rsidR="00C80916" w:rsidRDefault="00C80916" w:rsidP="00C80916">
            <w:pPr>
              <w:rPr>
                <w:b/>
              </w:rPr>
            </w:pPr>
            <w:r>
              <w:rPr>
                <w:sz w:val="20"/>
                <w:szCs w:val="20"/>
              </w:rPr>
              <w:t>Moderate</w:t>
            </w:r>
          </w:p>
        </w:tc>
      </w:tr>
      <w:tr w:rsidR="00C80916" w14:paraId="15157709" w14:textId="77777777" w:rsidTr="1D834C30">
        <w:tc>
          <w:tcPr>
            <w:tcW w:w="3681" w:type="dxa"/>
          </w:tcPr>
          <w:p w14:paraId="64E8D39C" w14:textId="22CED687" w:rsidR="00C80916" w:rsidRDefault="00C80916" w:rsidP="00C80916">
            <w:pPr>
              <w:rPr>
                <w:b/>
              </w:rPr>
            </w:pPr>
            <w:r w:rsidRPr="002B1D39">
              <w:rPr>
                <w:b/>
                <w:sz w:val="20"/>
                <w:szCs w:val="20"/>
              </w:rPr>
              <w:t xml:space="preserve">Cardiovascular </w:t>
            </w:r>
            <w:r>
              <w:rPr>
                <w:b/>
                <w:sz w:val="20"/>
                <w:szCs w:val="20"/>
              </w:rPr>
              <w:t xml:space="preserve">disease </w:t>
            </w:r>
            <w:r w:rsidRPr="002B1D39">
              <w:rPr>
                <w:b/>
                <w:sz w:val="20"/>
                <w:szCs w:val="20"/>
              </w:rPr>
              <w:t>events</w:t>
            </w:r>
          </w:p>
        </w:tc>
        <w:tc>
          <w:tcPr>
            <w:tcW w:w="1365" w:type="dxa"/>
          </w:tcPr>
          <w:p w14:paraId="530AFD29" w14:textId="7408C9F6" w:rsidR="00C80916" w:rsidRDefault="00C80916" w:rsidP="00C80916">
            <w:pPr>
              <w:rPr>
                <w:b/>
              </w:rPr>
            </w:pPr>
            <w:r w:rsidRPr="002B1D39">
              <w:rPr>
                <w:sz w:val="20"/>
                <w:szCs w:val="20"/>
              </w:rPr>
              <w:t>0.96</w:t>
            </w:r>
          </w:p>
        </w:tc>
        <w:tc>
          <w:tcPr>
            <w:tcW w:w="1933" w:type="dxa"/>
          </w:tcPr>
          <w:p w14:paraId="679EE08A" w14:textId="1038E92B" w:rsidR="00C80916" w:rsidRDefault="00C80916" w:rsidP="00C80916">
            <w:pPr>
              <w:rPr>
                <w:b/>
              </w:rPr>
            </w:pPr>
            <w:r w:rsidRPr="002B1D39">
              <w:rPr>
                <w:sz w:val="20"/>
                <w:szCs w:val="20"/>
              </w:rPr>
              <w:t>0.92 to 1.01</w:t>
            </w:r>
          </w:p>
        </w:tc>
        <w:tc>
          <w:tcPr>
            <w:tcW w:w="1414" w:type="dxa"/>
          </w:tcPr>
          <w:p w14:paraId="5518F562" w14:textId="7255C167" w:rsidR="00C80916" w:rsidRDefault="00C80916" w:rsidP="00C80916">
            <w:pPr>
              <w:rPr>
                <w:b/>
              </w:rPr>
            </w:pPr>
            <w:r>
              <w:rPr>
                <w:sz w:val="20"/>
                <w:szCs w:val="20"/>
              </w:rPr>
              <w:t>High</w:t>
            </w:r>
          </w:p>
        </w:tc>
      </w:tr>
      <w:tr w:rsidR="00C80916" w14:paraId="15FB938C" w14:textId="77777777" w:rsidTr="1D834C30">
        <w:tc>
          <w:tcPr>
            <w:tcW w:w="3681" w:type="dxa"/>
            <w:shd w:val="clear" w:color="auto" w:fill="EAF1DD" w:themeFill="accent3" w:themeFillTint="33"/>
          </w:tcPr>
          <w:p w14:paraId="73845AC6" w14:textId="5EE981C1" w:rsidR="00C80916" w:rsidRDefault="00C80916" w:rsidP="00C80916">
            <w:pPr>
              <w:rPr>
                <w:b/>
              </w:rPr>
            </w:pPr>
            <w:r w:rsidRPr="002B1D39">
              <w:rPr>
                <w:b/>
                <w:sz w:val="20"/>
                <w:szCs w:val="20"/>
              </w:rPr>
              <w:t>Coronary heart disease mortality</w:t>
            </w:r>
          </w:p>
        </w:tc>
        <w:tc>
          <w:tcPr>
            <w:tcW w:w="1365" w:type="dxa"/>
            <w:shd w:val="clear" w:color="auto" w:fill="EAF1DD" w:themeFill="accent3" w:themeFillTint="33"/>
          </w:tcPr>
          <w:p w14:paraId="379B5B36" w14:textId="3F23B456" w:rsidR="00C80916" w:rsidRDefault="00C80916" w:rsidP="00C80916">
            <w:pPr>
              <w:rPr>
                <w:b/>
              </w:rPr>
            </w:pPr>
            <w:r w:rsidRPr="002B1D39">
              <w:rPr>
                <w:sz w:val="20"/>
                <w:szCs w:val="20"/>
              </w:rPr>
              <w:t>0.90</w:t>
            </w:r>
          </w:p>
        </w:tc>
        <w:tc>
          <w:tcPr>
            <w:tcW w:w="1933" w:type="dxa"/>
            <w:shd w:val="clear" w:color="auto" w:fill="EAF1DD" w:themeFill="accent3" w:themeFillTint="33"/>
          </w:tcPr>
          <w:p w14:paraId="5E06F511" w14:textId="57CA1E4F" w:rsidR="00C80916" w:rsidRDefault="00C80916" w:rsidP="00C80916">
            <w:pPr>
              <w:rPr>
                <w:b/>
              </w:rPr>
            </w:pPr>
            <w:r w:rsidRPr="002B1D39">
              <w:rPr>
                <w:sz w:val="20"/>
                <w:szCs w:val="20"/>
              </w:rPr>
              <w:t>0.81 to 1.00</w:t>
            </w:r>
          </w:p>
        </w:tc>
        <w:tc>
          <w:tcPr>
            <w:tcW w:w="1414" w:type="dxa"/>
            <w:shd w:val="clear" w:color="auto" w:fill="EAF1DD" w:themeFill="accent3" w:themeFillTint="33"/>
          </w:tcPr>
          <w:p w14:paraId="4BF46DD5" w14:textId="7FF99915" w:rsidR="00C80916" w:rsidRDefault="00C80916" w:rsidP="00C80916">
            <w:pPr>
              <w:rPr>
                <w:b/>
              </w:rPr>
            </w:pPr>
            <w:r w:rsidRPr="002B1D39">
              <w:rPr>
                <w:sz w:val="20"/>
                <w:szCs w:val="20"/>
              </w:rPr>
              <w:t>Low</w:t>
            </w:r>
          </w:p>
        </w:tc>
      </w:tr>
      <w:tr w:rsidR="00C80916" w14:paraId="56470EEA" w14:textId="77777777" w:rsidTr="1D834C30">
        <w:tc>
          <w:tcPr>
            <w:tcW w:w="3681" w:type="dxa"/>
          </w:tcPr>
          <w:p w14:paraId="6F580C31" w14:textId="2572B969" w:rsidR="00C80916" w:rsidRDefault="00C80916" w:rsidP="00C80916">
            <w:pPr>
              <w:rPr>
                <w:b/>
              </w:rPr>
            </w:pPr>
            <w:r>
              <w:rPr>
                <w:b/>
                <w:sz w:val="20"/>
                <w:szCs w:val="20"/>
              </w:rPr>
              <w:t>C</w:t>
            </w:r>
            <w:r w:rsidRPr="002B1D39">
              <w:rPr>
                <w:b/>
                <w:sz w:val="20"/>
                <w:szCs w:val="20"/>
              </w:rPr>
              <w:t>oronary heart disease events</w:t>
            </w:r>
          </w:p>
        </w:tc>
        <w:tc>
          <w:tcPr>
            <w:tcW w:w="1365" w:type="dxa"/>
          </w:tcPr>
          <w:p w14:paraId="1FD8A5B2" w14:textId="3D3FB182" w:rsidR="00C80916" w:rsidRDefault="00C80916" w:rsidP="00C80916">
            <w:pPr>
              <w:rPr>
                <w:b/>
              </w:rPr>
            </w:pPr>
            <w:r w:rsidRPr="002B1D39">
              <w:rPr>
                <w:sz w:val="20"/>
                <w:szCs w:val="20"/>
              </w:rPr>
              <w:t>0.91</w:t>
            </w:r>
          </w:p>
        </w:tc>
        <w:tc>
          <w:tcPr>
            <w:tcW w:w="1933" w:type="dxa"/>
          </w:tcPr>
          <w:p w14:paraId="555954BC" w14:textId="4F89A330" w:rsidR="00C80916" w:rsidRDefault="00C80916" w:rsidP="00C80916">
            <w:pPr>
              <w:rPr>
                <w:b/>
              </w:rPr>
            </w:pPr>
            <w:r w:rsidRPr="002B1D39">
              <w:rPr>
                <w:sz w:val="20"/>
                <w:szCs w:val="20"/>
              </w:rPr>
              <w:t>0.85 to 0.97</w:t>
            </w:r>
          </w:p>
        </w:tc>
        <w:tc>
          <w:tcPr>
            <w:tcW w:w="1414" w:type="dxa"/>
          </w:tcPr>
          <w:p w14:paraId="5F149D8A" w14:textId="6E4655E8" w:rsidR="00C80916" w:rsidRDefault="00C80916" w:rsidP="00C80916">
            <w:pPr>
              <w:rPr>
                <w:b/>
              </w:rPr>
            </w:pPr>
            <w:r w:rsidRPr="002B1D39">
              <w:rPr>
                <w:sz w:val="20"/>
                <w:szCs w:val="20"/>
              </w:rPr>
              <w:t>Low</w:t>
            </w:r>
          </w:p>
        </w:tc>
      </w:tr>
      <w:tr w:rsidR="00C80916" w14:paraId="463E1617" w14:textId="77777777" w:rsidTr="1D834C30">
        <w:tc>
          <w:tcPr>
            <w:tcW w:w="3681" w:type="dxa"/>
            <w:shd w:val="clear" w:color="auto" w:fill="EAF1DD" w:themeFill="accent3" w:themeFillTint="33"/>
          </w:tcPr>
          <w:p w14:paraId="7F141C0B" w14:textId="1B5A8D96" w:rsidR="00C80916" w:rsidRDefault="00C80916" w:rsidP="00C80916">
            <w:pPr>
              <w:rPr>
                <w:b/>
              </w:rPr>
            </w:pPr>
            <w:r w:rsidRPr="002B1D39">
              <w:rPr>
                <w:b/>
                <w:sz w:val="20"/>
                <w:szCs w:val="20"/>
              </w:rPr>
              <w:t>Stroke</w:t>
            </w:r>
          </w:p>
        </w:tc>
        <w:tc>
          <w:tcPr>
            <w:tcW w:w="1365" w:type="dxa"/>
            <w:shd w:val="clear" w:color="auto" w:fill="EAF1DD" w:themeFill="accent3" w:themeFillTint="33"/>
          </w:tcPr>
          <w:p w14:paraId="4184C78F" w14:textId="7BF660F8" w:rsidR="00C80916" w:rsidRDefault="00C80916" w:rsidP="00C80916">
            <w:pPr>
              <w:rPr>
                <w:b/>
              </w:rPr>
            </w:pPr>
            <w:r w:rsidRPr="002B1D39">
              <w:rPr>
                <w:sz w:val="20"/>
                <w:szCs w:val="20"/>
              </w:rPr>
              <w:t>1.02</w:t>
            </w:r>
          </w:p>
        </w:tc>
        <w:tc>
          <w:tcPr>
            <w:tcW w:w="1933" w:type="dxa"/>
            <w:shd w:val="clear" w:color="auto" w:fill="EAF1DD" w:themeFill="accent3" w:themeFillTint="33"/>
          </w:tcPr>
          <w:p w14:paraId="1DE892A4" w14:textId="35F3141D" w:rsidR="00C80916" w:rsidRDefault="00C80916" w:rsidP="00C80916">
            <w:pPr>
              <w:rPr>
                <w:b/>
              </w:rPr>
            </w:pPr>
            <w:r w:rsidRPr="002B1D39">
              <w:rPr>
                <w:sz w:val="20"/>
                <w:szCs w:val="20"/>
              </w:rPr>
              <w:t>0.94 to 1.12</w:t>
            </w:r>
          </w:p>
        </w:tc>
        <w:tc>
          <w:tcPr>
            <w:tcW w:w="1414" w:type="dxa"/>
            <w:shd w:val="clear" w:color="auto" w:fill="EAF1DD" w:themeFill="accent3" w:themeFillTint="33"/>
          </w:tcPr>
          <w:p w14:paraId="7E4E614F" w14:textId="4957667D" w:rsidR="00C80916" w:rsidRDefault="00C80916" w:rsidP="00C80916">
            <w:pPr>
              <w:rPr>
                <w:b/>
              </w:rPr>
            </w:pPr>
            <w:r>
              <w:rPr>
                <w:sz w:val="20"/>
                <w:szCs w:val="20"/>
              </w:rPr>
              <w:t>Moderate</w:t>
            </w:r>
          </w:p>
        </w:tc>
      </w:tr>
      <w:tr w:rsidR="00C80916" w14:paraId="04659C22" w14:textId="77777777" w:rsidTr="1D834C30">
        <w:tc>
          <w:tcPr>
            <w:tcW w:w="3681" w:type="dxa"/>
          </w:tcPr>
          <w:p w14:paraId="19C09FC4" w14:textId="3903ADF7" w:rsidR="00C80916" w:rsidRDefault="00C80916" w:rsidP="00C80916">
            <w:pPr>
              <w:rPr>
                <w:b/>
              </w:rPr>
            </w:pPr>
            <w:r w:rsidRPr="002B1D39">
              <w:rPr>
                <w:b/>
                <w:sz w:val="20"/>
                <w:szCs w:val="20"/>
              </w:rPr>
              <w:t>Arrhythmia</w:t>
            </w:r>
          </w:p>
        </w:tc>
        <w:tc>
          <w:tcPr>
            <w:tcW w:w="1365" w:type="dxa"/>
          </w:tcPr>
          <w:p w14:paraId="0DBDEEDC" w14:textId="5D35AD6D" w:rsidR="00C80916" w:rsidRDefault="00C80916" w:rsidP="00C80916">
            <w:pPr>
              <w:rPr>
                <w:b/>
              </w:rPr>
            </w:pPr>
            <w:r w:rsidRPr="002B1D39">
              <w:rPr>
                <w:sz w:val="20"/>
                <w:szCs w:val="20"/>
              </w:rPr>
              <w:t>0.99</w:t>
            </w:r>
          </w:p>
        </w:tc>
        <w:tc>
          <w:tcPr>
            <w:tcW w:w="1933" w:type="dxa"/>
          </w:tcPr>
          <w:p w14:paraId="4A811A6E" w14:textId="6F4B207C" w:rsidR="00C80916" w:rsidRDefault="00C80916" w:rsidP="00C80916">
            <w:pPr>
              <w:rPr>
                <w:b/>
              </w:rPr>
            </w:pPr>
            <w:r w:rsidRPr="002B1D39">
              <w:rPr>
                <w:sz w:val="20"/>
                <w:szCs w:val="20"/>
              </w:rPr>
              <w:t>0.92 to 1.06</w:t>
            </w:r>
          </w:p>
        </w:tc>
        <w:tc>
          <w:tcPr>
            <w:tcW w:w="1414" w:type="dxa"/>
          </w:tcPr>
          <w:p w14:paraId="55DFC3C1" w14:textId="302A38D9" w:rsidR="00C80916" w:rsidRDefault="00C80916" w:rsidP="00C80916">
            <w:pPr>
              <w:rPr>
                <w:b/>
              </w:rPr>
            </w:pPr>
            <w:r>
              <w:rPr>
                <w:sz w:val="20"/>
                <w:szCs w:val="20"/>
              </w:rPr>
              <w:t>Low</w:t>
            </w:r>
          </w:p>
        </w:tc>
      </w:tr>
      <w:tr w:rsidR="00C80916" w14:paraId="142772DF" w14:textId="77777777" w:rsidTr="1D834C30">
        <w:tc>
          <w:tcPr>
            <w:tcW w:w="3681" w:type="dxa"/>
            <w:shd w:val="clear" w:color="auto" w:fill="EAF1DD" w:themeFill="accent3" w:themeFillTint="33"/>
          </w:tcPr>
          <w:p w14:paraId="49236FBC" w14:textId="5ED3A3CA" w:rsidR="00C80916" w:rsidRDefault="00C80916" w:rsidP="00C80916">
            <w:pPr>
              <w:rPr>
                <w:b/>
              </w:rPr>
            </w:pPr>
            <w:r w:rsidRPr="00F6671B">
              <w:rPr>
                <w:b/>
                <w:sz w:val="20"/>
                <w:szCs w:val="20"/>
              </w:rPr>
              <w:t>Bleeding</w:t>
            </w:r>
          </w:p>
        </w:tc>
        <w:tc>
          <w:tcPr>
            <w:tcW w:w="1365" w:type="dxa"/>
            <w:shd w:val="clear" w:color="auto" w:fill="EAF1DD" w:themeFill="accent3" w:themeFillTint="33"/>
          </w:tcPr>
          <w:p w14:paraId="6F825FA7" w14:textId="783F56BE" w:rsidR="00C80916" w:rsidRDefault="00C80916" w:rsidP="00C80916">
            <w:pPr>
              <w:rPr>
                <w:b/>
              </w:rPr>
            </w:pPr>
            <w:r>
              <w:rPr>
                <w:sz w:val="20"/>
                <w:szCs w:val="20"/>
              </w:rPr>
              <w:t>1.12</w:t>
            </w:r>
          </w:p>
        </w:tc>
        <w:tc>
          <w:tcPr>
            <w:tcW w:w="1933" w:type="dxa"/>
            <w:shd w:val="clear" w:color="auto" w:fill="EAF1DD" w:themeFill="accent3" w:themeFillTint="33"/>
          </w:tcPr>
          <w:p w14:paraId="779C7A22" w14:textId="30EFB97A" w:rsidR="00C80916" w:rsidRDefault="00C80916" w:rsidP="00C80916">
            <w:pPr>
              <w:rPr>
                <w:b/>
              </w:rPr>
            </w:pPr>
            <w:r w:rsidRPr="00F6671B">
              <w:rPr>
                <w:sz w:val="20"/>
                <w:szCs w:val="20"/>
              </w:rPr>
              <w:t>0.91 to 1.37</w:t>
            </w:r>
          </w:p>
        </w:tc>
        <w:tc>
          <w:tcPr>
            <w:tcW w:w="1414" w:type="dxa"/>
            <w:shd w:val="clear" w:color="auto" w:fill="EAF1DD" w:themeFill="accent3" w:themeFillTint="33"/>
          </w:tcPr>
          <w:p w14:paraId="49065CEB" w14:textId="77AB39EF" w:rsidR="00C80916" w:rsidRDefault="00C80916" w:rsidP="00C80916">
            <w:pPr>
              <w:rPr>
                <w:b/>
              </w:rPr>
            </w:pPr>
            <w:r>
              <w:rPr>
                <w:sz w:val="20"/>
                <w:szCs w:val="20"/>
              </w:rPr>
              <w:t>Very low</w:t>
            </w:r>
          </w:p>
        </w:tc>
      </w:tr>
      <w:tr w:rsidR="00C80916" w14:paraId="4F7276E8" w14:textId="77777777" w:rsidTr="1D834C30">
        <w:tc>
          <w:tcPr>
            <w:tcW w:w="3681" w:type="dxa"/>
          </w:tcPr>
          <w:p w14:paraId="486EA423" w14:textId="7EDA8400" w:rsidR="00C80916" w:rsidRDefault="00C80916" w:rsidP="00C80916">
            <w:pPr>
              <w:rPr>
                <w:b/>
              </w:rPr>
            </w:pPr>
            <w:r w:rsidRPr="00F6671B">
              <w:rPr>
                <w:b/>
                <w:sz w:val="20"/>
                <w:szCs w:val="20"/>
              </w:rPr>
              <w:t>Pulmonary embolus or DVT</w:t>
            </w:r>
          </w:p>
        </w:tc>
        <w:tc>
          <w:tcPr>
            <w:tcW w:w="1365" w:type="dxa"/>
          </w:tcPr>
          <w:p w14:paraId="579BA55C" w14:textId="2006EFB5" w:rsidR="00C80916" w:rsidRDefault="00C80916" w:rsidP="00C80916">
            <w:pPr>
              <w:rPr>
                <w:b/>
              </w:rPr>
            </w:pPr>
            <w:r>
              <w:rPr>
                <w:sz w:val="20"/>
                <w:szCs w:val="20"/>
              </w:rPr>
              <w:t xml:space="preserve">1.15 </w:t>
            </w:r>
          </w:p>
        </w:tc>
        <w:tc>
          <w:tcPr>
            <w:tcW w:w="1933" w:type="dxa"/>
          </w:tcPr>
          <w:p w14:paraId="0923A1AD" w14:textId="4526C866" w:rsidR="00C80916" w:rsidRDefault="00C80916" w:rsidP="00C80916">
            <w:pPr>
              <w:rPr>
                <w:b/>
              </w:rPr>
            </w:pPr>
            <w:r w:rsidRPr="00F6671B">
              <w:rPr>
                <w:sz w:val="20"/>
                <w:szCs w:val="20"/>
              </w:rPr>
              <w:t>0.44 to 2.98</w:t>
            </w:r>
          </w:p>
        </w:tc>
        <w:tc>
          <w:tcPr>
            <w:tcW w:w="1414" w:type="dxa"/>
          </w:tcPr>
          <w:p w14:paraId="36FE28DD" w14:textId="7BE2BC21" w:rsidR="00C80916" w:rsidRDefault="00C80916" w:rsidP="00C80916">
            <w:pPr>
              <w:rPr>
                <w:b/>
              </w:rPr>
            </w:pPr>
            <w:r>
              <w:rPr>
                <w:sz w:val="20"/>
                <w:szCs w:val="20"/>
              </w:rPr>
              <w:t>Very low</w:t>
            </w:r>
          </w:p>
        </w:tc>
      </w:tr>
      <w:tr w:rsidR="00C80916" w14:paraId="49A1A0CA" w14:textId="77777777" w:rsidTr="1D834C30">
        <w:tc>
          <w:tcPr>
            <w:tcW w:w="3681" w:type="dxa"/>
          </w:tcPr>
          <w:p w14:paraId="75488D33" w14:textId="77777777" w:rsidR="00C80916" w:rsidRDefault="00C80916" w:rsidP="00C80916">
            <w:pPr>
              <w:rPr>
                <w:b/>
              </w:rPr>
            </w:pPr>
          </w:p>
        </w:tc>
        <w:tc>
          <w:tcPr>
            <w:tcW w:w="1365" w:type="dxa"/>
            <w:vAlign w:val="bottom"/>
          </w:tcPr>
          <w:p w14:paraId="7B5DE572" w14:textId="30D9F757" w:rsidR="00C80916" w:rsidRDefault="00C80916" w:rsidP="00C80916">
            <w:pPr>
              <w:rPr>
                <w:b/>
              </w:rPr>
            </w:pPr>
            <w:r w:rsidRPr="006318B0">
              <w:rPr>
                <w:b/>
                <w:sz w:val="20"/>
                <w:szCs w:val="20"/>
              </w:rPr>
              <w:t>Mean difference</w:t>
            </w:r>
          </w:p>
        </w:tc>
        <w:tc>
          <w:tcPr>
            <w:tcW w:w="1933" w:type="dxa"/>
          </w:tcPr>
          <w:p w14:paraId="5C38336F" w14:textId="77777777" w:rsidR="00C80916" w:rsidRDefault="00C80916" w:rsidP="00C80916">
            <w:pPr>
              <w:rPr>
                <w:b/>
              </w:rPr>
            </w:pPr>
          </w:p>
        </w:tc>
        <w:tc>
          <w:tcPr>
            <w:tcW w:w="1414" w:type="dxa"/>
          </w:tcPr>
          <w:p w14:paraId="731A0E40" w14:textId="77777777" w:rsidR="00C80916" w:rsidRDefault="00C80916" w:rsidP="00C80916">
            <w:pPr>
              <w:rPr>
                <w:b/>
              </w:rPr>
            </w:pPr>
          </w:p>
        </w:tc>
      </w:tr>
      <w:tr w:rsidR="00C80916" w14:paraId="5E023CF1" w14:textId="77777777" w:rsidTr="1D834C30">
        <w:tc>
          <w:tcPr>
            <w:tcW w:w="3681" w:type="dxa"/>
          </w:tcPr>
          <w:p w14:paraId="58A242D1" w14:textId="34F2A005" w:rsidR="00C80916" w:rsidRDefault="00C80916" w:rsidP="00C80916">
            <w:pPr>
              <w:rPr>
                <w:b/>
              </w:rPr>
            </w:pPr>
            <w:r>
              <w:rPr>
                <w:b/>
                <w:sz w:val="20"/>
                <w:szCs w:val="20"/>
              </w:rPr>
              <w:t>Serum l</w:t>
            </w:r>
            <w:r w:rsidRPr="00F6671B">
              <w:rPr>
                <w:b/>
                <w:sz w:val="20"/>
                <w:szCs w:val="20"/>
              </w:rPr>
              <w:t>ipids</w:t>
            </w:r>
            <w:r>
              <w:rPr>
                <w:b/>
                <w:sz w:val="20"/>
                <w:szCs w:val="20"/>
              </w:rPr>
              <w:t xml:space="preserve"> (mmol/L)</w:t>
            </w:r>
          </w:p>
        </w:tc>
        <w:tc>
          <w:tcPr>
            <w:tcW w:w="1365" w:type="dxa"/>
          </w:tcPr>
          <w:p w14:paraId="63EA392B" w14:textId="77777777" w:rsidR="00C80916" w:rsidRDefault="00C80916" w:rsidP="00C80916">
            <w:pPr>
              <w:rPr>
                <w:b/>
              </w:rPr>
            </w:pPr>
          </w:p>
        </w:tc>
        <w:tc>
          <w:tcPr>
            <w:tcW w:w="1933" w:type="dxa"/>
          </w:tcPr>
          <w:p w14:paraId="2BA02062" w14:textId="77777777" w:rsidR="00C80916" w:rsidRDefault="00C80916" w:rsidP="00C80916">
            <w:pPr>
              <w:rPr>
                <w:b/>
              </w:rPr>
            </w:pPr>
          </w:p>
        </w:tc>
        <w:tc>
          <w:tcPr>
            <w:tcW w:w="1414" w:type="dxa"/>
          </w:tcPr>
          <w:p w14:paraId="39070972" w14:textId="77777777" w:rsidR="00C80916" w:rsidRDefault="00C80916" w:rsidP="00C80916">
            <w:pPr>
              <w:rPr>
                <w:b/>
              </w:rPr>
            </w:pPr>
          </w:p>
        </w:tc>
      </w:tr>
      <w:tr w:rsidR="00C80916" w14:paraId="574A6254" w14:textId="77777777" w:rsidTr="1D834C30">
        <w:tc>
          <w:tcPr>
            <w:tcW w:w="3681" w:type="dxa"/>
          </w:tcPr>
          <w:p w14:paraId="16E8E449" w14:textId="5AF1AA5E" w:rsidR="00C80916" w:rsidRDefault="00C80916" w:rsidP="00C80916">
            <w:pPr>
              <w:rPr>
                <w:b/>
              </w:rPr>
            </w:pPr>
            <w:r>
              <w:rPr>
                <w:sz w:val="20"/>
                <w:szCs w:val="20"/>
              </w:rPr>
              <w:t>T</w:t>
            </w:r>
            <w:r w:rsidRPr="00FE2AF5">
              <w:rPr>
                <w:sz w:val="20"/>
                <w:szCs w:val="20"/>
              </w:rPr>
              <w:t xml:space="preserve">otal cholesterol </w:t>
            </w:r>
          </w:p>
        </w:tc>
        <w:tc>
          <w:tcPr>
            <w:tcW w:w="1365" w:type="dxa"/>
          </w:tcPr>
          <w:p w14:paraId="7F8A8C39" w14:textId="0421CE17" w:rsidR="00C80916" w:rsidRDefault="00C80916" w:rsidP="00C80916">
            <w:pPr>
              <w:rPr>
                <w:b/>
              </w:rPr>
            </w:pPr>
            <w:r>
              <w:rPr>
                <w:sz w:val="20"/>
                <w:szCs w:val="20"/>
              </w:rPr>
              <w:t>0.01</w:t>
            </w:r>
          </w:p>
        </w:tc>
        <w:tc>
          <w:tcPr>
            <w:tcW w:w="1933" w:type="dxa"/>
          </w:tcPr>
          <w:p w14:paraId="01326065" w14:textId="1FEBF816" w:rsidR="00C80916" w:rsidRDefault="00C80916" w:rsidP="00C80916">
            <w:pPr>
              <w:rPr>
                <w:b/>
              </w:rPr>
            </w:pPr>
            <w:r>
              <w:rPr>
                <w:sz w:val="20"/>
                <w:szCs w:val="20"/>
              </w:rPr>
              <w:t>-0.05 to 0.03</w:t>
            </w:r>
          </w:p>
        </w:tc>
        <w:tc>
          <w:tcPr>
            <w:tcW w:w="1414" w:type="dxa"/>
          </w:tcPr>
          <w:p w14:paraId="04A8B592" w14:textId="3A993285" w:rsidR="00C80916" w:rsidRDefault="00C80916" w:rsidP="00C80916">
            <w:pPr>
              <w:rPr>
                <w:b/>
              </w:rPr>
            </w:pPr>
            <w:r>
              <w:rPr>
                <w:sz w:val="20"/>
                <w:szCs w:val="20"/>
              </w:rPr>
              <w:t>High</w:t>
            </w:r>
          </w:p>
        </w:tc>
      </w:tr>
      <w:tr w:rsidR="00C80916" w14:paraId="160FAFF5" w14:textId="77777777" w:rsidTr="1D834C30">
        <w:tc>
          <w:tcPr>
            <w:tcW w:w="3681" w:type="dxa"/>
            <w:shd w:val="clear" w:color="auto" w:fill="EAF1DD" w:themeFill="accent3" w:themeFillTint="33"/>
          </w:tcPr>
          <w:p w14:paraId="5BAB1001" w14:textId="2233D995" w:rsidR="00C80916" w:rsidRDefault="00C80916" w:rsidP="00C80916">
            <w:pPr>
              <w:rPr>
                <w:b/>
              </w:rPr>
            </w:pPr>
            <w:r>
              <w:rPr>
                <w:sz w:val="20"/>
                <w:szCs w:val="20"/>
              </w:rPr>
              <w:t>Triglycerides</w:t>
            </w:r>
          </w:p>
        </w:tc>
        <w:tc>
          <w:tcPr>
            <w:tcW w:w="1365" w:type="dxa"/>
            <w:shd w:val="clear" w:color="auto" w:fill="EAF1DD" w:themeFill="accent3" w:themeFillTint="33"/>
          </w:tcPr>
          <w:p w14:paraId="4C91EEFF" w14:textId="3A2EE49F" w:rsidR="00C80916" w:rsidRDefault="00C80916" w:rsidP="00C80916">
            <w:pPr>
              <w:rPr>
                <w:b/>
              </w:rPr>
            </w:pPr>
            <w:r>
              <w:rPr>
                <w:sz w:val="20"/>
                <w:szCs w:val="20"/>
              </w:rPr>
              <w:t>-0.24</w:t>
            </w:r>
          </w:p>
        </w:tc>
        <w:tc>
          <w:tcPr>
            <w:tcW w:w="1933" w:type="dxa"/>
            <w:shd w:val="clear" w:color="auto" w:fill="EAF1DD" w:themeFill="accent3" w:themeFillTint="33"/>
          </w:tcPr>
          <w:p w14:paraId="158A976A" w14:textId="34058A25" w:rsidR="00C80916" w:rsidRDefault="00C80916" w:rsidP="00C80916">
            <w:pPr>
              <w:rPr>
                <w:b/>
              </w:rPr>
            </w:pPr>
            <w:r>
              <w:rPr>
                <w:sz w:val="20"/>
                <w:szCs w:val="20"/>
              </w:rPr>
              <w:t xml:space="preserve">-0.31 to -0.16 </w:t>
            </w:r>
          </w:p>
        </w:tc>
        <w:tc>
          <w:tcPr>
            <w:tcW w:w="1414" w:type="dxa"/>
            <w:shd w:val="clear" w:color="auto" w:fill="EAF1DD" w:themeFill="accent3" w:themeFillTint="33"/>
          </w:tcPr>
          <w:p w14:paraId="00DF6AC5" w14:textId="539173E0" w:rsidR="00C80916" w:rsidRDefault="00C80916" w:rsidP="00C80916">
            <w:pPr>
              <w:rPr>
                <w:b/>
              </w:rPr>
            </w:pPr>
            <w:r>
              <w:rPr>
                <w:sz w:val="20"/>
                <w:szCs w:val="20"/>
              </w:rPr>
              <w:t>High</w:t>
            </w:r>
          </w:p>
        </w:tc>
      </w:tr>
      <w:tr w:rsidR="00C80916" w14:paraId="613DAF9B" w14:textId="77777777" w:rsidTr="1D834C30">
        <w:tc>
          <w:tcPr>
            <w:tcW w:w="3681" w:type="dxa"/>
          </w:tcPr>
          <w:p w14:paraId="67B43B5B" w14:textId="0E172854" w:rsidR="00C80916" w:rsidRDefault="00C80916" w:rsidP="00C80916">
            <w:pPr>
              <w:rPr>
                <w:b/>
              </w:rPr>
            </w:pPr>
            <w:r>
              <w:rPr>
                <w:sz w:val="20"/>
                <w:szCs w:val="20"/>
              </w:rPr>
              <w:t>High-density lipoprotein (HDL)</w:t>
            </w:r>
          </w:p>
        </w:tc>
        <w:tc>
          <w:tcPr>
            <w:tcW w:w="1365" w:type="dxa"/>
          </w:tcPr>
          <w:p w14:paraId="0855EF0C" w14:textId="2972CABA" w:rsidR="00C80916" w:rsidRDefault="00C80916" w:rsidP="00C80916">
            <w:pPr>
              <w:rPr>
                <w:b/>
              </w:rPr>
            </w:pPr>
            <w:r>
              <w:rPr>
                <w:sz w:val="20"/>
                <w:szCs w:val="20"/>
              </w:rPr>
              <w:t>0.03</w:t>
            </w:r>
          </w:p>
        </w:tc>
        <w:tc>
          <w:tcPr>
            <w:tcW w:w="1933" w:type="dxa"/>
          </w:tcPr>
          <w:p w14:paraId="63C062CB" w14:textId="33D7FB7E" w:rsidR="00C80916" w:rsidRDefault="00C80916" w:rsidP="00C80916">
            <w:pPr>
              <w:rPr>
                <w:b/>
              </w:rPr>
            </w:pPr>
            <w:r>
              <w:rPr>
                <w:sz w:val="20"/>
                <w:szCs w:val="20"/>
              </w:rPr>
              <w:t>0.01 to 0.05</w:t>
            </w:r>
          </w:p>
        </w:tc>
        <w:tc>
          <w:tcPr>
            <w:tcW w:w="1414" w:type="dxa"/>
          </w:tcPr>
          <w:p w14:paraId="669AF1DE" w14:textId="7FD7D3E8" w:rsidR="00C80916" w:rsidRDefault="00C80916" w:rsidP="00C80916">
            <w:pPr>
              <w:rPr>
                <w:b/>
              </w:rPr>
            </w:pPr>
            <w:r>
              <w:rPr>
                <w:sz w:val="20"/>
                <w:szCs w:val="20"/>
              </w:rPr>
              <w:t>High</w:t>
            </w:r>
          </w:p>
        </w:tc>
      </w:tr>
      <w:tr w:rsidR="00C80916" w14:paraId="0751E396" w14:textId="77777777" w:rsidTr="1D834C30">
        <w:tc>
          <w:tcPr>
            <w:tcW w:w="3681" w:type="dxa"/>
            <w:shd w:val="clear" w:color="auto" w:fill="EAF1DD" w:themeFill="accent3" w:themeFillTint="33"/>
          </w:tcPr>
          <w:p w14:paraId="1686C4F9" w14:textId="15E961E5" w:rsidR="00C80916" w:rsidRDefault="00C80916" w:rsidP="00C80916">
            <w:pPr>
              <w:rPr>
                <w:b/>
              </w:rPr>
            </w:pPr>
            <w:r>
              <w:rPr>
                <w:sz w:val="20"/>
                <w:szCs w:val="20"/>
              </w:rPr>
              <w:t>Low</w:t>
            </w:r>
            <w:r w:rsidRPr="00274EE7">
              <w:rPr>
                <w:sz w:val="20"/>
                <w:szCs w:val="20"/>
              </w:rPr>
              <w:t>-density lipoprotein</w:t>
            </w:r>
            <w:r>
              <w:rPr>
                <w:sz w:val="20"/>
                <w:szCs w:val="20"/>
              </w:rPr>
              <w:t xml:space="preserve"> (LDL)</w:t>
            </w:r>
          </w:p>
        </w:tc>
        <w:tc>
          <w:tcPr>
            <w:tcW w:w="1365" w:type="dxa"/>
            <w:shd w:val="clear" w:color="auto" w:fill="EAF1DD" w:themeFill="accent3" w:themeFillTint="33"/>
          </w:tcPr>
          <w:p w14:paraId="4B3F3B01" w14:textId="355D5659" w:rsidR="00C80916" w:rsidRDefault="00C80916" w:rsidP="00C80916">
            <w:pPr>
              <w:rPr>
                <w:b/>
              </w:rPr>
            </w:pPr>
            <w:r>
              <w:rPr>
                <w:sz w:val="20"/>
                <w:szCs w:val="20"/>
              </w:rPr>
              <w:t>0.01</w:t>
            </w:r>
          </w:p>
        </w:tc>
        <w:tc>
          <w:tcPr>
            <w:tcW w:w="1933" w:type="dxa"/>
            <w:shd w:val="clear" w:color="auto" w:fill="EAF1DD" w:themeFill="accent3" w:themeFillTint="33"/>
          </w:tcPr>
          <w:p w14:paraId="53C77831" w14:textId="58C66B19" w:rsidR="00C80916" w:rsidRDefault="00C80916" w:rsidP="00C80916">
            <w:pPr>
              <w:rPr>
                <w:b/>
              </w:rPr>
            </w:pPr>
            <w:r>
              <w:rPr>
                <w:sz w:val="20"/>
                <w:szCs w:val="20"/>
              </w:rPr>
              <w:t>-0.01 to 0.03</w:t>
            </w:r>
          </w:p>
        </w:tc>
        <w:tc>
          <w:tcPr>
            <w:tcW w:w="1414" w:type="dxa"/>
            <w:shd w:val="clear" w:color="auto" w:fill="EAF1DD" w:themeFill="accent3" w:themeFillTint="33"/>
          </w:tcPr>
          <w:p w14:paraId="265AE00C" w14:textId="4F0784F5" w:rsidR="00C80916" w:rsidRDefault="00C80916" w:rsidP="00C80916">
            <w:pPr>
              <w:rPr>
                <w:b/>
              </w:rPr>
            </w:pPr>
            <w:r>
              <w:rPr>
                <w:sz w:val="20"/>
                <w:szCs w:val="20"/>
              </w:rPr>
              <w:t>High</w:t>
            </w:r>
          </w:p>
        </w:tc>
      </w:tr>
      <w:tr w:rsidR="00C80916" w14:paraId="503CD155" w14:textId="77777777" w:rsidTr="1D834C30">
        <w:tc>
          <w:tcPr>
            <w:tcW w:w="3681" w:type="dxa"/>
          </w:tcPr>
          <w:p w14:paraId="6B949FF2" w14:textId="03CDDB04" w:rsidR="00C80916" w:rsidRDefault="00C80916" w:rsidP="00C80916">
            <w:pPr>
              <w:rPr>
                <w:b/>
              </w:rPr>
            </w:pPr>
            <w:r>
              <w:rPr>
                <w:b/>
                <w:sz w:val="20"/>
                <w:szCs w:val="20"/>
              </w:rPr>
              <w:t>Adiposity</w:t>
            </w:r>
          </w:p>
        </w:tc>
        <w:tc>
          <w:tcPr>
            <w:tcW w:w="1365" w:type="dxa"/>
          </w:tcPr>
          <w:p w14:paraId="3FC8F86E" w14:textId="77777777" w:rsidR="00C80916" w:rsidRDefault="00C80916" w:rsidP="00C80916">
            <w:pPr>
              <w:rPr>
                <w:b/>
              </w:rPr>
            </w:pPr>
          </w:p>
        </w:tc>
        <w:tc>
          <w:tcPr>
            <w:tcW w:w="1933" w:type="dxa"/>
          </w:tcPr>
          <w:p w14:paraId="1BEF74FF" w14:textId="77777777" w:rsidR="00C80916" w:rsidRDefault="00C80916" w:rsidP="00C80916">
            <w:pPr>
              <w:rPr>
                <w:b/>
              </w:rPr>
            </w:pPr>
          </w:p>
        </w:tc>
        <w:tc>
          <w:tcPr>
            <w:tcW w:w="1414" w:type="dxa"/>
          </w:tcPr>
          <w:p w14:paraId="4C6816BB" w14:textId="77777777" w:rsidR="00C80916" w:rsidRDefault="00C80916" w:rsidP="00C80916">
            <w:pPr>
              <w:rPr>
                <w:b/>
              </w:rPr>
            </w:pPr>
          </w:p>
        </w:tc>
      </w:tr>
      <w:tr w:rsidR="00C80916" w14:paraId="68D74AD7" w14:textId="77777777" w:rsidTr="1D834C30">
        <w:tc>
          <w:tcPr>
            <w:tcW w:w="3681" w:type="dxa"/>
          </w:tcPr>
          <w:p w14:paraId="48379C12" w14:textId="4FD5FD8B" w:rsidR="00C80916" w:rsidRDefault="00C80916" w:rsidP="00C80916">
            <w:pPr>
              <w:rPr>
                <w:b/>
              </w:rPr>
            </w:pPr>
            <w:r w:rsidRPr="00D06985">
              <w:rPr>
                <w:sz w:val="20"/>
                <w:szCs w:val="20"/>
              </w:rPr>
              <w:t>Body weight (kg)</w:t>
            </w:r>
          </w:p>
        </w:tc>
        <w:tc>
          <w:tcPr>
            <w:tcW w:w="1365" w:type="dxa"/>
          </w:tcPr>
          <w:p w14:paraId="186B317D" w14:textId="5F6C9130" w:rsidR="00C80916" w:rsidRDefault="00C80916" w:rsidP="00C80916">
            <w:pPr>
              <w:rPr>
                <w:b/>
              </w:rPr>
            </w:pPr>
            <w:r>
              <w:rPr>
                <w:sz w:val="20"/>
                <w:szCs w:val="20"/>
              </w:rPr>
              <w:t>0.00</w:t>
            </w:r>
          </w:p>
        </w:tc>
        <w:tc>
          <w:tcPr>
            <w:tcW w:w="1933" w:type="dxa"/>
          </w:tcPr>
          <w:p w14:paraId="63563ECE" w14:textId="630ADA84" w:rsidR="00C80916" w:rsidRDefault="00C80916" w:rsidP="00C80916">
            <w:pPr>
              <w:rPr>
                <w:b/>
              </w:rPr>
            </w:pPr>
            <w:r>
              <w:rPr>
                <w:sz w:val="20"/>
                <w:szCs w:val="20"/>
              </w:rPr>
              <w:t>-0.69 to 0.70</w:t>
            </w:r>
          </w:p>
        </w:tc>
        <w:tc>
          <w:tcPr>
            <w:tcW w:w="1414" w:type="dxa"/>
          </w:tcPr>
          <w:p w14:paraId="7EB46017" w14:textId="326DF25D" w:rsidR="00C80916" w:rsidRDefault="00C80916" w:rsidP="00C80916">
            <w:pPr>
              <w:rPr>
                <w:b/>
              </w:rPr>
            </w:pPr>
            <w:r>
              <w:rPr>
                <w:sz w:val="20"/>
                <w:szCs w:val="20"/>
              </w:rPr>
              <w:t>High</w:t>
            </w:r>
          </w:p>
        </w:tc>
      </w:tr>
      <w:tr w:rsidR="00C80916" w14:paraId="0BC71F07" w14:textId="77777777" w:rsidTr="1D834C30">
        <w:tc>
          <w:tcPr>
            <w:tcW w:w="3681" w:type="dxa"/>
            <w:shd w:val="clear" w:color="auto" w:fill="EAF1DD" w:themeFill="accent3" w:themeFillTint="33"/>
          </w:tcPr>
          <w:p w14:paraId="4583DA37" w14:textId="44DB7E5D" w:rsidR="00C80916" w:rsidRPr="00936287" w:rsidRDefault="00C80916" w:rsidP="00C80916">
            <w:pPr>
              <w:rPr>
                <w:b/>
                <w:sz w:val="20"/>
                <w:szCs w:val="20"/>
              </w:rPr>
            </w:pPr>
            <w:r w:rsidRPr="00936287">
              <w:rPr>
                <w:sz w:val="20"/>
                <w:szCs w:val="20"/>
              </w:rPr>
              <w:t>Body mass index (kg/m</w:t>
            </w:r>
            <w:r w:rsidRPr="00936287">
              <w:rPr>
                <w:sz w:val="20"/>
                <w:szCs w:val="20"/>
                <w:vertAlign w:val="superscript"/>
              </w:rPr>
              <w:t>2</w:t>
            </w:r>
            <w:r w:rsidRPr="00936287">
              <w:rPr>
                <w:sz w:val="20"/>
                <w:szCs w:val="20"/>
              </w:rPr>
              <w:t>)</w:t>
            </w:r>
          </w:p>
        </w:tc>
        <w:tc>
          <w:tcPr>
            <w:tcW w:w="1365" w:type="dxa"/>
            <w:shd w:val="clear" w:color="auto" w:fill="EAF1DD" w:themeFill="accent3" w:themeFillTint="33"/>
          </w:tcPr>
          <w:p w14:paraId="6E5750A3" w14:textId="0B1D62F8" w:rsidR="00C80916" w:rsidRPr="00936287" w:rsidRDefault="00936287" w:rsidP="00C80916">
            <w:pPr>
              <w:rPr>
                <w:sz w:val="20"/>
                <w:szCs w:val="20"/>
              </w:rPr>
            </w:pPr>
            <w:r w:rsidRPr="00936287">
              <w:rPr>
                <w:sz w:val="20"/>
                <w:szCs w:val="20"/>
              </w:rPr>
              <w:t>0.06</w:t>
            </w:r>
          </w:p>
        </w:tc>
        <w:tc>
          <w:tcPr>
            <w:tcW w:w="1933" w:type="dxa"/>
            <w:shd w:val="clear" w:color="auto" w:fill="EAF1DD" w:themeFill="accent3" w:themeFillTint="33"/>
          </w:tcPr>
          <w:p w14:paraId="26BD6332" w14:textId="283BA3A7" w:rsidR="00C80916" w:rsidRPr="00936287" w:rsidRDefault="00D25255" w:rsidP="00D25255">
            <w:pPr>
              <w:rPr>
                <w:sz w:val="20"/>
                <w:szCs w:val="20"/>
              </w:rPr>
            </w:pPr>
            <w:r w:rsidRPr="00D25255">
              <w:rPr>
                <w:sz w:val="20"/>
                <w:szCs w:val="20"/>
              </w:rPr>
              <w:t>-0.14 to 0.25</w:t>
            </w:r>
          </w:p>
        </w:tc>
        <w:tc>
          <w:tcPr>
            <w:tcW w:w="1414" w:type="dxa"/>
            <w:shd w:val="clear" w:color="auto" w:fill="EAF1DD" w:themeFill="accent3" w:themeFillTint="33"/>
          </w:tcPr>
          <w:p w14:paraId="4A9330E2" w14:textId="76CE2ADD" w:rsidR="00C80916" w:rsidRPr="00936287" w:rsidRDefault="00D25255" w:rsidP="00C80916">
            <w:pPr>
              <w:rPr>
                <w:sz w:val="20"/>
                <w:szCs w:val="20"/>
              </w:rPr>
            </w:pPr>
            <w:r>
              <w:rPr>
                <w:sz w:val="20"/>
                <w:szCs w:val="20"/>
              </w:rPr>
              <w:t>High</w:t>
            </w:r>
          </w:p>
        </w:tc>
      </w:tr>
    </w:tbl>
    <w:p w14:paraId="670EB01A" w14:textId="77777777" w:rsidR="00C80916" w:rsidRPr="006435AE" w:rsidRDefault="00C80916" w:rsidP="00C80916">
      <w:pPr>
        <w:keepNext/>
        <w:keepLines/>
        <w:rPr>
          <w:sz w:val="18"/>
          <w:szCs w:val="18"/>
        </w:rPr>
      </w:pPr>
      <w:r>
        <w:rPr>
          <w:sz w:val="18"/>
          <w:szCs w:val="18"/>
          <w:vertAlign w:val="superscript"/>
        </w:rPr>
        <w:t>1</w:t>
      </w:r>
      <w:r w:rsidRPr="006435AE">
        <w:rPr>
          <w:sz w:val="18"/>
          <w:szCs w:val="18"/>
          <w:vertAlign w:val="superscript"/>
        </w:rPr>
        <w:t xml:space="preserve"> </w:t>
      </w:r>
      <w:r w:rsidRPr="006435AE">
        <w:rPr>
          <w:sz w:val="18"/>
          <w:szCs w:val="18"/>
        </w:rPr>
        <w:t>Certainty of evidence was assessed using GRADE (</w:t>
      </w:r>
      <w:r w:rsidRPr="00FC30DF">
        <w:rPr>
          <w:sz w:val="18"/>
          <w:szCs w:val="18"/>
        </w:rPr>
        <w:t>GRADE Working Group</w:t>
      </w:r>
      <w:r>
        <w:rPr>
          <w:sz w:val="18"/>
          <w:szCs w:val="18"/>
        </w:rPr>
        <w:t xml:space="preserve"> (2004)).</w:t>
      </w:r>
    </w:p>
    <w:p w14:paraId="7BD0F00C" w14:textId="6AB04F9A" w:rsidR="00C80916" w:rsidRPr="008733DF" w:rsidRDefault="008733DF" w:rsidP="008733DF">
      <w:pPr>
        <w:widowControl/>
        <w:rPr>
          <w:sz w:val="18"/>
          <w:szCs w:val="18"/>
        </w:rPr>
      </w:pPr>
      <w:r>
        <w:rPr>
          <w:sz w:val="18"/>
          <w:szCs w:val="18"/>
        </w:rPr>
        <w:br w:type="page"/>
      </w:r>
    </w:p>
    <w:p w14:paraId="4BA17101" w14:textId="4795D63B" w:rsidR="004054C0" w:rsidRPr="00CA50E4" w:rsidRDefault="004054C0" w:rsidP="00ED0F8C">
      <w:pPr>
        <w:keepNext/>
        <w:keepLines/>
        <w:rPr>
          <w:sz w:val="4"/>
          <w:szCs w:val="4"/>
        </w:rPr>
      </w:pPr>
    </w:p>
    <w:p w14:paraId="7923DE60" w14:textId="41A67550" w:rsidR="00C75B52" w:rsidRPr="00E157FA" w:rsidRDefault="00C75B52" w:rsidP="00C75B52">
      <w:pPr>
        <w:keepNext/>
        <w:keepLines/>
        <w:rPr>
          <w:b/>
        </w:rPr>
      </w:pPr>
      <w:r>
        <w:rPr>
          <w:b/>
        </w:rPr>
        <w:t xml:space="preserve">Table </w:t>
      </w:r>
      <w:r w:rsidR="00C4360C">
        <w:rPr>
          <w:b/>
        </w:rPr>
        <w:t>3</w:t>
      </w:r>
      <w:r w:rsidRPr="00E157FA">
        <w:rPr>
          <w:b/>
        </w:rPr>
        <w:t xml:space="preserve">: </w:t>
      </w:r>
      <w:r w:rsidR="00BE76B8">
        <w:rPr>
          <w:b/>
        </w:rPr>
        <w:t>E</w:t>
      </w:r>
      <w:r w:rsidR="00BE76B8" w:rsidRPr="007C4849">
        <w:rPr>
          <w:b/>
        </w:rPr>
        <w:t>ffect</w:t>
      </w:r>
      <w:r w:rsidR="00BE76B8">
        <w:rPr>
          <w:b/>
        </w:rPr>
        <w:t>s</w:t>
      </w:r>
      <w:r w:rsidR="00BE76B8" w:rsidRPr="007C4849">
        <w:rPr>
          <w:b/>
        </w:rPr>
        <w:t xml:space="preserve"> of increasing n-3 LC-PUFA intake</w:t>
      </w:r>
      <w:r w:rsidR="00BE76B8">
        <w:rPr>
          <w:b/>
        </w:rPr>
        <w:t xml:space="preserve"> on side-</w:t>
      </w:r>
      <w:r w:rsidRPr="00C75B52">
        <w:rPr>
          <w:b/>
        </w:rPr>
        <w:t>effects (non-serious)</w:t>
      </w:r>
    </w:p>
    <w:p w14:paraId="70170BB2" w14:textId="77777777" w:rsidR="00C75B52" w:rsidRPr="00CA50E4" w:rsidRDefault="00C75B52" w:rsidP="00C75B52">
      <w:pPr>
        <w:keepNext/>
        <w:keepLines/>
        <w:rPr>
          <w:sz w:val="4"/>
          <w:szCs w:val="4"/>
        </w:rPr>
      </w:pPr>
    </w:p>
    <w:tbl>
      <w:tblPr>
        <w:tblStyle w:val="TableGrid"/>
        <w:tblW w:w="9067" w:type="dxa"/>
        <w:tblLook w:val="04A0" w:firstRow="1" w:lastRow="0" w:firstColumn="1" w:lastColumn="0" w:noHBand="0" w:noVBand="1"/>
        <w:tblCaption w:val="Table 3"/>
        <w:tblDescription w:val="Effects of increasing n-3 LC-PUFA intake on side-effects (non-serious)"/>
      </w:tblPr>
      <w:tblGrid>
        <w:gridCol w:w="3539"/>
        <w:gridCol w:w="1843"/>
        <w:gridCol w:w="1843"/>
        <w:gridCol w:w="1842"/>
      </w:tblGrid>
      <w:tr w:rsidR="00C75B52" w:rsidRPr="002B1D39" w14:paraId="681ACDC9" w14:textId="77777777" w:rsidTr="00D26E0D">
        <w:trPr>
          <w:tblHeader/>
        </w:trPr>
        <w:tc>
          <w:tcPr>
            <w:tcW w:w="3539" w:type="dxa"/>
            <w:shd w:val="clear" w:color="auto" w:fill="9BBB59" w:themeFill="accent3"/>
            <w:vAlign w:val="center"/>
          </w:tcPr>
          <w:p w14:paraId="3F28B190" w14:textId="77777777" w:rsidR="00C75B52" w:rsidRPr="002B1D39" w:rsidRDefault="00C75B52" w:rsidP="00640FFF">
            <w:pPr>
              <w:keepNext/>
              <w:keepLines/>
              <w:spacing w:before="40" w:after="40"/>
              <w:jc w:val="center"/>
              <w:rPr>
                <w:sz w:val="20"/>
                <w:szCs w:val="20"/>
              </w:rPr>
            </w:pPr>
          </w:p>
        </w:tc>
        <w:tc>
          <w:tcPr>
            <w:tcW w:w="1843" w:type="dxa"/>
            <w:shd w:val="clear" w:color="auto" w:fill="9BBB59" w:themeFill="accent3"/>
            <w:vAlign w:val="center"/>
          </w:tcPr>
          <w:p w14:paraId="1730AB92" w14:textId="77777777" w:rsidR="00C75B52" w:rsidRPr="002B1D39" w:rsidRDefault="00C75B52" w:rsidP="00640FFF">
            <w:pPr>
              <w:keepNext/>
              <w:keepLines/>
              <w:spacing w:before="40" w:after="40"/>
              <w:jc w:val="center"/>
              <w:rPr>
                <w:b/>
                <w:sz w:val="20"/>
                <w:szCs w:val="20"/>
              </w:rPr>
            </w:pPr>
            <w:r w:rsidRPr="002B1D39">
              <w:rPr>
                <w:b/>
                <w:sz w:val="20"/>
                <w:szCs w:val="20"/>
              </w:rPr>
              <w:t>Risk ratio</w:t>
            </w:r>
          </w:p>
        </w:tc>
        <w:tc>
          <w:tcPr>
            <w:tcW w:w="1843" w:type="dxa"/>
            <w:shd w:val="clear" w:color="auto" w:fill="9BBB59" w:themeFill="accent3"/>
            <w:vAlign w:val="center"/>
          </w:tcPr>
          <w:p w14:paraId="4132B3BD" w14:textId="77777777" w:rsidR="00C75B52" w:rsidRPr="002B1D39" w:rsidRDefault="00C75B52" w:rsidP="00640FFF">
            <w:pPr>
              <w:keepNext/>
              <w:keepLines/>
              <w:spacing w:before="40" w:after="40"/>
              <w:jc w:val="center"/>
              <w:rPr>
                <w:b/>
                <w:sz w:val="20"/>
                <w:szCs w:val="20"/>
              </w:rPr>
            </w:pPr>
            <w:r w:rsidRPr="002B1D39">
              <w:rPr>
                <w:b/>
                <w:sz w:val="20"/>
                <w:szCs w:val="20"/>
              </w:rPr>
              <w:t>95% confidence interval</w:t>
            </w:r>
          </w:p>
        </w:tc>
        <w:tc>
          <w:tcPr>
            <w:tcW w:w="1842" w:type="dxa"/>
            <w:shd w:val="clear" w:color="auto" w:fill="9BBB59" w:themeFill="accent3"/>
            <w:vAlign w:val="center"/>
          </w:tcPr>
          <w:p w14:paraId="5126403C" w14:textId="194FFA6A" w:rsidR="00C75B52" w:rsidRPr="002B1D39" w:rsidRDefault="00C75B52" w:rsidP="00640FFF">
            <w:pPr>
              <w:keepNext/>
              <w:keepLines/>
              <w:spacing w:before="40" w:after="40"/>
              <w:jc w:val="center"/>
              <w:rPr>
                <w:b/>
                <w:sz w:val="20"/>
                <w:szCs w:val="20"/>
              </w:rPr>
            </w:pPr>
            <w:r w:rsidRPr="002B1D39">
              <w:rPr>
                <w:b/>
                <w:sz w:val="20"/>
                <w:szCs w:val="20"/>
              </w:rPr>
              <w:t>Certainty</w:t>
            </w:r>
            <w:r>
              <w:rPr>
                <w:b/>
                <w:sz w:val="20"/>
                <w:szCs w:val="20"/>
              </w:rPr>
              <w:t xml:space="preserve"> of evidence</w:t>
            </w:r>
          </w:p>
        </w:tc>
      </w:tr>
      <w:tr w:rsidR="00C75B52" w:rsidRPr="002B1D39" w14:paraId="26F9E06C" w14:textId="77777777" w:rsidTr="00BE76B8">
        <w:trPr>
          <w:trHeight w:val="214"/>
        </w:trPr>
        <w:tc>
          <w:tcPr>
            <w:tcW w:w="3539" w:type="dxa"/>
          </w:tcPr>
          <w:p w14:paraId="2D214396" w14:textId="77777777" w:rsidR="00C75B52" w:rsidRPr="00C75B52" w:rsidRDefault="00C75B52" w:rsidP="00C75B52">
            <w:pPr>
              <w:keepNext/>
              <w:keepLines/>
              <w:spacing w:before="40" w:after="40"/>
              <w:rPr>
                <w:b/>
                <w:sz w:val="20"/>
                <w:szCs w:val="20"/>
              </w:rPr>
            </w:pPr>
            <w:r w:rsidRPr="00C75B52">
              <w:rPr>
                <w:b/>
                <w:sz w:val="20"/>
                <w:szCs w:val="20"/>
              </w:rPr>
              <w:t>Abdominal pain or discomfort</w:t>
            </w:r>
          </w:p>
        </w:tc>
        <w:tc>
          <w:tcPr>
            <w:tcW w:w="1843" w:type="dxa"/>
          </w:tcPr>
          <w:p w14:paraId="702AADA7" w14:textId="77777777" w:rsidR="00C75B52" w:rsidRDefault="00C75B52" w:rsidP="0037376C">
            <w:pPr>
              <w:keepNext/>
              <w:keepLines/>
              <w:spacing w:before="40" w:after="40"/>
              <w:rPr>
                <w:sz w:val="20"/>
                <w:szCs w:val="20"/>
              </w:rPr>
            </w:pPr>
            <w:r>
              <w:rPr>
                <w:sz w:val="20"/>
                <w:szCs w:val="20"/>
              </w:rPr>
              <w:t>1.05</w:t>
            </w:r>
          </w:p>
        </w:tc>
        <w:tc>
          <w:tcPr>
            <w:tcW w:w="1843" w:type="dxa"/>
          </w:tcPr>
          <w:p w14:paraId="3054C98B" w14:textId="77777777" w:rsidR="00C75B52" w:rsidRPr="00F6671B" w:rsidRDefault="00C75B52" w:rsidP="0037376C">
            <w:pPr>
              <w:keepNext/>
              <w:keepLines/>
              <w:spacing w:before="40" w:after="40"/>
              <w:rPr>
                <w:sz w:val="20"/>
                <w:szCs w:val="20"/>
              </w:rPr>
            </w:pPr>
            <w:r w:rsidRPr="00A2776D">
              <w:rPr>
                <w:sz w:val="20"/>
                <w:szCs w:val="20"/>
              </w:rPr>
              <w:t>0.91 to 1.20</w:t>
            </w:r>
          </w:p>
        </w:tc>
        <w:tc>
          <w:tcPr>
            <w:tcW w:w="1842" w:type="dxa"/>
          </w:tcPr>
          <w:p w14:paraId="3FC4A64C" w14:textId="77777777" w:rsidR="00C75B52" w:rsidRDefault="00C75B52" w:rsidP="0037376C">
            <w:pPr>
              <w:keepNext/>
              <w:keepLines/>
              <w:spacing w:before="40" w:after="40"/>
              <w:rPr>
                <w:sz w:val="20"/>
                <w:szCs w:val="20"/>
              </w:rPr>
            </w:pPr>
            <w:r>
              <w:rPr>
                <w:sz w:val="20"/>
                <w:szCs w:val="20"/>
              </w:rPr>
              <w:t>Not assessed</w:t>
            </w:r>
          </w:p>
        </w:tc>
      </w:tr>
      <w:tr w:rsidR="00C75B52" w:rsidRPr="002B1D39" w14:paraId="6A7E997C" w14:textId="77777777" w:rsidTr="00640FFF">
        <w:tc>
          <w:tcPr>
            <w:tcW w:w="3539" w:type="dxa"/>
            <w:shd w:val="clear" w:color="auto" w:fill="EAF1DD" w:themeFill="accent3" w:themeFillTint="33"/>
          </w:tcPr>
          <w:p w14:paraId="5B236912" w14:textId="77777777" w:rsidR="00C75B52" w:rsidRPr="00C75B52" w:rsidRDefault="00C75B52" w:rsidP="00C75B52">
            <w:pPr>
              <w:keepNext/>
              <w:keepLines/>
              <w:spacing w:before="40" w:after="40"/>
              <w:rPr>
                <w:b/>
                <w:sz w:val="20"/>
                <w:szCs w:val="20"/>
              </w:rPr>
            </w:pPr>
            <w:r w:rsidRPr="00C75B52">
              <w:rPr>
                <w:b/>
                <w:sz w:val="20"/>
                <w:szCs w:val="20"/>
              </w:rPr>
              <w:t>Diarrhoea</w:t>
            </w:r>
          </w:p>
        </w:tc>
        <w:tc>
          <w:tcPr>
            <w:tcW w:w="1843" w:type="dxa"/>
            <w:shd w:val="clear" w:color="auto" w:fill="EAF1DD" w:themeFill="accent3" w:themeFillTint="33"/>
          </w:tcPr>
          <w:p w14:paraId="7882CF92" w14:textId="77777777" w:rsidR="00C75B52" w:rsidRDefault="00C75B52" w:rsidP="0037376C">
            <w:pPr>
              <w:keepNext/>
              <w:keepLines/>
              <w:spacing w:before="40" w:after="40"/>
              <w:rPr>
                <w:sz w:val="20"/>
                <w:szCs w:val="20"/>
              </w:rPr>
            </w:pPr>
            <w:r>
              <w:rPr>
                <w:sz w:val="20"/>
                <w:szCs w:val="20"/>
              </w:rPr>
              <w:t>1.02</w:t>
            </w:r>
          </w:p>
        </w:tc>
        <w:tc>
          <w:tcPr>
            <w:tcW w:w="1843" w:type="dxa"/>
            <w:shd w:val="clear" w:color="auto" w:fill="EAF1DD" w:themeFill="accent3" w:themeFillTint="33"/>
          </w:tcPr>
          <w:p w14:paraId="4D6213CB" w14:textId="77777777" w:rsidR="00C75B52" w:rsidRPr="00F6671B" w:rsidRDefault="00C75B52" w:rsidP="0037376C">
            <w:pPr>
              <w:keepNext/>
              <w:keepLines/>
              <w:spacing w:before="40" w:after="40"/>
              <w:rPr>
                <w:sz w:val="20"/>
                <w:szCs w:val="20"/>
              </w:rPr>
            </w:pPr>
            <w:r w:rsidRPr="00A2776D">
              <w:rPr>
                <w:sz w:val="20"/>
                <w:szCs w:val="20"/>
              </w:rPr>
              <w:t>0.87 to 1.19</w:t>
            </w:r>
          </w:p>
        </w:tc>
        <w:tc>
          <w:tcPr>
            <w:tcW w:w="1842" w:type="dxa"/>
            <w:shd w:val="clear" w:color="auto" w:fill="EAF1DD" w:themeFill="accent3" w:themeFillTint="33"/>
          </w:tcPr>
          <w:p w14:paraId="469E210C" w14:textId="77777777" w:rsidR="00C75B52" w:rsidRDefault="00C75B52" w:rsidP="0037376C">
            <w:pPr>
              <w:keepNext/>
              <w:keepLines/>
              <w:spacing w:before="40" w:after="40"/>
              <w:rPr>
                <w:sz w:val="20"/>
                <w:szCs w:val="20"/>
              </w:rPr>
            </w:pPr>
            <w:r w:rsidRPr="00F04629">
              <w:rPr>
                <w:sz w:val="20"/>
                <w:szCs w:val="20"/>
              </w:rPr>
              <w:t>Not assessed</w:t>
            </w:r>
          </w:p>
        </w:tc>
      </w:tr>
      <w:tr w:rsidR="00C75B52" w:rsidRPr="002B1D39" w14:paraId="4F6721E5" w14:textId="77777777" w:rsidTr="00BE76B8">
        <w:tc>
          <w:tcPr>
            <w:tcW w:w="3539" w:type="dxa"/>
          </w:tcPr>
          <w:p w14:paraId="15D30B4F" w14:textId="77777777" w:rsidR="00C75B52" w:rsidRPr="00C75B52" w:rsidRDefault="00C75B52" w:rsidP="00C75B52">
            <w:pPr>
              <w:keepNext/>
              <w:keepLines/>
              <w:spacing w:before="40" w:after="40"/>
              <w:rPr>
                <w:b/>
                <w:sz w:val="20"/>
                <w:szCs w:val="20"/>
              </w:rPr>
            </w:pPr>
            <w:r w:rsidRPr="00C75B52">
              <w:rPr>
                <w:b/>
                <w:sz w:val="20"/>
                <w:szCs w:val="20"/>
              </w:rPr>
              <w:t>Nausea</w:t>
            </w:r>
          </w:p>
        </w:tc>
        <w:tc>
          <w:tcPr>
            <w:tcW w:w="1843" w:type="dxa"/>
          </w:tcPr>
          <w:p w14:paraId="5C658055" w14:textId="77777777" w:rsidR="00C75B52" w:rsidRDefault="00C75B52" w:rsidP="0037376C">
            <w:pPr>
              <w:keepNext/>
              <w:keepLines/>
              <w:spacing w:before="40" w:after="40"/>
              <w:rPr>
                <w:sz w:val="20"/>
                <w:szCs w:val="20"/>
              </w:rPr>
            </w:pPr>
            <w:r>
              <w:rPr>
                <w:sz w:val="20"/>
                <w:szCs w:val="20"/>
              </w:rPr>
              <w:t>1.20</w:t>
            </w:r>
          </w:p>
        </w:tc>
        <w:tc>
          <w:tcPr>
            <w:tcW w:w="1843" w:type="dxa"/>
          </w:tcPr>
          <w:p w14:paraId="3CF92448" w14:textId="77777777" w:rsidR="00C75B52" w:rsidRPr="00F6671B" w:rsidRDefault="00C75B52" w:rsidP="0037376C">
            <w:pPr>
              <w:keepNext/>
              <w:keepLines/>
              <w:spacing w:before="40" w:after="40"/>
              <w:rPr>
                <w:sz w:val="20"/>
                <w:szCs w:val="20"/>
              </w:rPr>
            </w:pPr>
            <w:r w:rsidRPr="00A2776D">
              <w:rPr>
                <w:sz w:val="20"/>
                <w:szCs w:val="20"/>
              </w:rPr>
              <w:t>0.96 to 1.49</w:t>
            </w:r>
          </w:p>
        </w:tc>
        <w:tc>
          <w:tcPr>
            <w:tcW w:w="1842" w:type="dxa"/>
          </w:tcPr>
          <w:p w14:paraId="3CF1AB1C" w14:textId="77777777" w:rsidR="00C75B52" w:rsidRDefault="00C75B52" w:rsidP="0037376C">
            <w:pPr>
              <w:keepNext/>
              <w:keepLines/>
              <w:spacing w:before="40" w:after="40"/>
              <w:rPr>
                <w:sz w:val="20"/>
                <w:szCs w:val="20"/>
              </w:rPr>
            </w:pPr>
            <w:r w:rsidRPr="00F04629">
              <w:rPr>
                <w:sz w:val="20"/>
                <w:szCs w:val="20"/>
              </w:rPr>
              <w:t>Not assessed</w:t>
            </w:r>
          </w:p>
        </w:tc>
      </w:tr>
      <w:tr w:rsidR="00C75B52" w:rsidRPr="002B1D39" w14:paraId="2F8E1E71" w14:textId="77777777" w:rsidTr="00640FFF">
        <w:tc>
          <w:tcPr>
            <w:tcW w:w="3539" w:type="dxa"/>
            <w:shd w:val="clear" w:color="auto" w:fill="EAF1DD" w:themeFill="accent3" w:themeFillTint="33"/>
          </w:tcPr>
          <w:p w14:paraId="428C28B4" w14:textId="77777777" w:rsidR="00C75B52" w:rsidRPr="00C75B52" w:rsidRDefault="00C75B52" w:rsidP="00C75B52">
            <w:pPr>
              <w:keepNext/>
              <w:keepLines/>
              <w:spacing w:before="40" w:after="40"/>
              <w:rPr>
                <w:b/>
                <w:sz w:val="20"/>
                <w:szCs w:val="20"/>
              </w:rPr>
            </w:pPr>
            <w:r w:rsidRPr="00C75B52">
              <w:rPr>
                <w:b/>
                <w:sz w:val="20"/>
                <w:szCs w:val="20"/>
              </w:rPr>
              <w:t>Any gastrointestinal side effect</w:t>
            </w:r>
          </w:p>
        </w:tc>
        <w:tc>
          <w:tcPr>
            <w:tcW w:w="1843" w:type="dxa"/>
            <w:shd w:val="clear" w:color="auto" w:fill="EAF1DD" w:themeFill="accent3" w:themeFillTint="33"/>
          </w:tcPr>
          <w:p w14:paraId="16026B6B" w14:textId="500B730A" w:rsidR="00C75B52" w:rsidRDefault="00C4360C" w:rsidP="0037376C">
            <w:pPr>
              <w:keepNext/>
              <w:keepLines/>
              <w:spacing w:before="40" w:after="40"/>
              <w:rPr>
                <w:sz w:val="20"/>
                <w:szCs w:val="20"/>
              </w:rPr>
            </w:pPr>
            <w:r>
              <w:rPr>
                <w:sz w:val="20"/>
                <w:szCs w:val="20"/>
              </w:rPr>
              <w:t>1.10</w:t>
            </w:r>
          </w:p>
        </w:tc>
        <w:tc>
          <w:tcPr>
            <w:tcW w:w="1843" w:type="dxa"/>
            <w:shd w:val="clear" w:color="auto" w:fill="EAF1DD" w:themeFill="accent3" w:themeFillTint="33"/>
          </w:tcPr>
          <w:p w14:paraId="75DF9C2B" w14:textId="1C1CD20F" w:rsidR="00C75B52" w:rsidRPr="00F6671B" w:rsidRDefault="00C4360C" w:rsidP="0037376C">
            <w:pPr>
              <w:keepNext/>
              <w:keepLines/>
              <w:spacing w:before="40" w:after="40"/>
              <w:rPr>
                <w:sz w:val="20"/>
                <w:szCs w:val="20"/>
              </w:rPr>
            </w:pPr>
            <w:r>
              <w:rPr>
                <w:sz w:val="20"/>
                <w:szCs w:val="20"/>
              </w:rPr>
              <w:t>0.97 to 1.26</w:t>
            </w:r>
          </w:p>
        </w:tc>
        <w:tc>
          <w:tcPr>
            <w:tcW w:w="1842" w:type="dxa"/>
            <w:shd w:val="clear" w:color="auto" w:fill="EAF1DD" w:themeFill="accent3" w:themeFillTint="33"/>
          </w:tcPr>
          <w:p w14:paraId="1E771595" w14:textId="77777777" w:rsidR="00C75B52" w:rsidRDefault="00C75B52" w:rsidP="0037376C">
            <w:pPr>
              <w:keepNext/>
              <w:keepLines/>
              <w:spacing w:before="40" w:after="40"/>
              <w:rPr>
                <w:sz w:val="20"/>
                <w:szCs w:val="20"/>
              </w:rPr>
            </w:pPr>
            <w:r w:rsidRPr="00F04629">
              <w:rPr>
                <w:sz w:val="20"/>
                <w:szCs w:val="20"/>
              </w:rPr>
              <w:t>Not assessed</w:t>
            </w:r>
          </w:p>
        </w:tc>
      </w:tr>
      <w:tr w:rsidR="00C75B52" w:rsidRPr="002B1D39" w14:paraId="60A995FC" w14:textId="77777777" w:rsidTr="00BE76B8">
        <w:tc>
          <w:tcPr>
            <w:tcW w:w="3539" w:type="dxa"/>
          </w:tcPr>
          <w:p w14:paraId="7A329C4E" w14:textId="77777777" w:rsidR="00C75B52" w:rsidRPr="00C75B52" w:rsidRDefault="00C75B52" w:rsidP="00C75B52">
            <w:pPr>
              <w:keepNext/>
              <w:keepLines/>
              <w:spacing w:before="40" w:after="40"/>
              <w:rPr>
                <w:b/>
                <w:sz w:val="20"/>
                <w:szCs w:val="20"/>
              </w:rPr>
            </w:pPr>
            <w:r w:rsidRPr="00C75B52">
              <w:rPr>
                <w:b/>
                <w:sz w:val="20"/>
                <w:szCs w:val="20"/>
              </w:rPr>
              <w:t>Withdrawal from trial due to side effects</w:t>
            </w:r>
          </w:p>
        </w:tc>
        <w:tc>
          <w:tcPr>
            <w:tcW w:w="1843" w:type="dxa"/>
          </w:tcPr>
          <w:p w14:paraId="02A35294" w14:textId="77777777" w:rsidR="00C75B52" w:rsidRDefault="00C75B52" w:rsidP="0037376C">
            <w:pPr>
              <w:keepNext/>
              <w:keepLines/>
              <w:spacing w:before="40" w:after="40"/>
              <w:rPr>
                <w:sz w:val="20"/>
                <w:szCs w:val="20"/>
              </w:rPr>
            </w:pPr>
            <w:r>
              <w:rPr>
                <w:sz w:val="20"/>
                <w:szCs w:val="20"/>
              </w:rPr>
              <w:t>1.16</w:t>
            </w:r>
          </w:p>
        </w:tc>
        <w:tc>
          <w:tcPr>
            <w:tcW w:w="1843" w:type="dxa"/>
          </w:tcPr>
          <w:p w14:paraId="4EA39D27" w14:textId="77777777" w:rsidR="00C75B52" w:rsidRPr="00F6671B" w:rsidRDefault="00C75B52" w:rsidP="0037376C">
            <w:pPr>
              <w:keepNext/>
              <w:keepLines/>
              <w:spacing w:before="40" w:after="40"/>
              <w:rPr>
                <w:sz w:val="20"/>
                <w:szCs w:val="20"/>
              </w:rPr>
            </w:pPr>
            <w:r w:rsidRPr="005C2182">
              <w:rPr>
                <w:sz w:val="20"/>
                <w:szCs w:val="20"/>
              </w:rPr>
              <w:t>0.99 to 1.36</w:t>
            </w:r>
          </w:p>
        </w:tc>
        <w:tc>
          <w:tcPr>
            <w:tcW w:w="1842" w:type="dxa"/>
          </w:tcPr>
          <w:p w14:paraId="75D0D382" w14:textId="77777777" w:rsidR="00C75B52" w:rsidRDefault="00C75B52" w:rsidP="0037376C">
            <w:pPr>
              <w:keepNext/>
              <w:keepLines/>
              <w:spacing w:before="40" w:after="40"/>
              <w:rPr>
                <w:sz w:val="20"/>
                <w:szCs w:val="20"/>
              </w:rPr>
            </w:pPr>
            <w:r w:rsidRPr="005C2182">
              <w:rPr>
                <w:sz w:val="20"/>
                <w:szCs w:val="20"/>
              </w:rPr>
              <w:t>Not assessed</w:t>
            </w:r>
          </w:p>
        </w:tc>
      </w:tr>
      <w:tr w:rsidR="00C4360C" w:rsidRPr="002B1D39" w14:paraId="09837328" w14:textId="77777777" w:rsidTr="00640FFF">
        <w:tc>
          <w:tcPr>
            <w:tcW w:w="3539" w:type="dxa"/>
            <w:shd w:val="clear" w:color="auto" w:fill="EAF1DD" w:themeFill="accent3" w:themeFillTint="33"/>
          </w:tcPr>
          <w:p w14:paraId="169C3D41" w14:textId="7A2614A9" w:rsidR="00C4360C" w:rsidRPr="00C75B52" w:rsidRDefault="00C4360C" w:rsidP="00C75B52">
            <w:pPr>
              <w:keepNext/>
              <w:keepLines/>
              <w:spacing w:before="40" w:after="40"/>
              <w:rPr>
                <w:b/>
                <w:sz w:val="20"/>
                <w:szCs w:val="20"/>
              </w:rPr>
            </w:pPr>
            <w:r>
              <w:rPr>
                <w:b/>
                <w:sz w:val="20"/>
                <w:szCs w:val="20"/>
              </w:rPr>
              <w:t>All side effects combined</w:t>
            </w:r>
          </w:p>
        </w:tc>
        <w:tc>
          <w:tcPr>
            <w:tcW w:w="1843" w:type="dxa"/>
            <w:shd w:val="clear" w:color="auto" w:fill="EAF1DD" w:themeFill="accent3" w:themeFillTint="33"/>
          </w:tcPr>
          <w:p w14:paraId="02E6A243" w14:textId="33F691C6" w:rsidR="00C4360C" w:rsidRDefault="00C4360C" w:rsidP="0037376C">
            <w:pPr>
              <w:keepNext/>
              <w:keepLines/>
              <w:spacing w:before="40" w:after="40"/>
              <w:rPr>
                <w:sz w:val="20"/>
                <w:szCs w:val="20"/>
              </w:rPr>
            </w:pPr>
            <w:r>
              <w:rPr>
                <w:sz w:val="20"/>
                <w:szCs w:val="20"/>
              </w:rPr>
              <w:t>1.01</w:t>
            </w:r>
          </w:p>
        </w:tc>
        <w:tc>
          <w:tcPr>
            <w:tcW w:w="1843" w:type="dxa"/>
            <w:shd w:val="clear" w:color="auto" w:fill="EAF1DD" w:themeFill="accent3" w:themeFillTint="33"/>
          </w:tcPr>
          <w:p w14:paraId="64EB87EE" w14:textId="73D4E48A" w:rsidR="00C4360C" w:rsidRPr="005C2182" w:rsidRDefault="00C4360C" w:rsidP="0037376C">
            <w:pPr>
              <w:keepNext/>
              <w:keepLines/>
              <w:spacing w:before="40" w:after="40"/>
              <w:rPr>
                <w:sz w:val="20"/>
                <w:szCs w:val="20"/>
              </w:rPr>
            </w:pPr>
            <w:r>
              <w:rPr>
                <w:sz w:val="20"/>
                <w:szCs w:val="20"/>
              </w:rPr>
              <w:t>0.95 to 1.08</w:t>
            </w:r>
          </w:p>
        </w:tc>
        <w:tc>
          <w:tcPr>
            <w:tcW w:w="1842" w:type="dxa"/>
            <w:shd w:val="clear" w:color="auto" w:fill="EAF1DD" w:themeFill="accent3" w:themeFillTint="33"/>
          </w:tcPr>
          <w:p w14:paraId="3ACA9A05" w14:textId="6A8445B0" w:rsidR="00C4360C" w:rsidRPr="005C2182" w:rsidRDefault="00C4360C" w:rsidP="0037376C">
            <w:pPr>
              <w:keepNext/>
              <w:keepLines/>
              <w:spacing w:before="40" w:after="40"/>
              <w:rPr>
                <w:sz w:val="20"/>
                <w:szCs w:val="20"/>
              </w:rPr>
            </w:pPr>
            <w:r w:rsidRPr="00C4360C">
              <w:rPr>
                <w:sz w:val="20"/>
                <w:szCs w:val="20"/>
              </w:rPr>
              <w:t>Not assessed</w:t>
            </w:r>
          </w:p>
        </w:tc>
      </w:tr>
    </w:tbl>
    <w:p w14:paraId="0910F87D" w14:textId="42996FF9" w:rsidR="00AB10C8" w:rsidRDefault="00AB10C8" w:rsidP="00AB10C8">
      <w:pPr>
        <w:pStyle w:val="Heading2"/>
      </w:pPr>
      <w:bookmarkStart w:id="15" w:name="_Toc102573423"/>
      <w:r>
        <w:t>2.5</w:t>
      </w:r>
      <w:r w:rsidRPr="0087155B">
        <w:tab/>
      </w:r>
      <w:r>
        <w:t>R</w:t>
      </w:r>
      <w:r w:rsidRPr="00EF0330">
        <w:t>andomised controlled trials</w:t>
      </w:r>
      <w:r>
        <w:t xml:space="preserve"> in pregnancy</w:t>
      </w:r>
      <w:bookmarkEnd w:id="15"/>
    </w:p>
    <w:p w14:paraId="66CDA918" w14:textId="7A813391" w:rsidR="00AB10C8" w:rsidRDefault="00421644" w:rsidP="008733DF">
      <w:pPr>
        <w:spacing w:after="240"/>
      </w:pPr>
      <w:r>
        <w:t>Middleton al. (2018)</w:t>
      </w:r>
      <w:r w:rsidRPr="00421644">
        <w:t xml:space="preserve"> </w:t>
      </w:r>
      <w:r w:rsidR="00AB10C8" w:rsidRPr="00AB10C8">
        <w:t xml:space="preserve">conducted a systematic review of randomised controlled trials (RCTs) reporting the effects of increased intake of n-3 LC-PUFA </w:t>
      </w:r>
      <w:r>
        <w:t xml:space="preserve">during pregnancy </w:t>
      </w:r>
      <w:r w:rsidR="00AB10C8" w:rsidRPr="00AB10C8">
        <w:t xml:space="preserve">on </w:t>
      </w:r>
      <w:r>
        <w:t xml:space="preserve">maternal, perinatal, and neonatal outcomes and longer-term outcomes for mother and child. </w:t>
      </w:r>
      <w:r w:rsidR="00AB10C8" w:rsidRPr="00AB10C8">
        <w:t xml:space="preserve">This </w:t>
      </w:r>
      <w:r>
        <w:t>Cochrane review</w:t>
      </w:r>
      <w:r w:rsidR="00AB10C8" w:rsidRPr="00AB10C8">
        <w:t xml:space="preserve"> included </w:t>
      </w:r>
      <w:r w:rsidR="00CB769F">
        <w:t>meta-</w:t>
      </w:r>
      <w:r w:rsidR="00AB10C8" w:rsidRPr="00AB10C8">
        <w:t xml:space="preserve">analyses </w:t>
      </w:r>
      <w:r w:rsidR="00CB769F">
        <w:t>and assessments of evidence certainty</w:t>
      </w:r>
      <w:r w:rsidR="00AB10C8" w:rsidRPr="00AB10C8">
        <w:t>.</w:t>
      </w:r>
    </w:p>
    <w:p w14:paraId="00BB26D2" w14:textId="3BB701CF" w:rsidR="00EA70BC" w:rsidRDefault="006B4D04" w:rsidP="008733DF">
      <w:pPr>
        <w:spacing w:after="240"/>
      </w:pPr>
      <w:r>
        <w:t xml:space="preserve">A total of 70 RCTs (involving 19,927 women at low, mixed or high risk of poor pregnancy outcomes) were included in the review. These RCTs compared n-3 LC-PUFA interventions (supplements and food) with placebo or no </w:t>
      </w:r>
      <w:r w:rsidRPr="006B4D04">
        <w:t>n-3 LC-PUFA</w:t>
      </w:r>
      <w:r>
        <w:t xml:space="preserve">, </w:t>
      </w:r>
      <w:r w:rsidRPr="006B4D04">
        <w:t xml:space="preserve">or study </w:t>
      </w:r>
      <w:r>
        <w:t xml:space="preserve">arms directly comparing n-3 </w:t>
      </w:r>
      <w:r w:rsidRPr="006B4D04">
        <w:t>LC</w:t>
      </w:r>
      <w:r>
        <w:t>-</w:t>
      </w:r>
      <w:r w:rsidRPr="006B4D04">
        <w:t xml:space="preserve">PUFA doses </w:t>
      </w:r>
      <w:r w:rsidR="001830D1">
        <w:t xml:space="preserve">(up to 3 g/day) </w:t>
      </w:r>
      <w:r w:rsidRPr="006B4D04">
        <w:t>or types</w:t>
      </w:r>
      <w:r>
        <w:t>.</w:t>
      </w:r>
    </w:p>
    <w:p w14:paraId="679075C5" w14:textId="6BABAAE8" w:rsidR="00D16EDF" w:rsidRDefault="008F3B39" w:rsidP="008733DF">
      <w:pPr>
        <w:spacing w:after="240"/>
      </w:pPr>
      <w:r>
        <w:t xml:space="preserve">The main results of the </w:t>
      </w:r>
      <w:r w:rsidR="00D16EDF">
        <w:t>analyses are shown i</w:t>
      </w:r>
      <w:r w:rsidR="00B15422">
        <w:t>n Table 4</w:t>
      </w:r>
      <w:r w:rsidR="00D16EDF">
        <w:t xml:space="preserve">. </w:t>
      </w:r>
      <w:r w:rsidR="00B366A3">
        <w:t>There was a reduced risk of p</w:t>
      </w:r>
      <w:r w:rsidR="00D16EDF">
        <w:t>reterm birth</w:t>
      </w:r>
      <w:r w:rsidR="00B366A3">
        <w:t xml:space="preserve"> and</w:t>
      </w:r>
      <w:r w:rsidR="00D16EDF">
        <w:t xml:space="preserve"> </w:t>
      </w:r>
      <w:r w:rsidR="00B366A3">
        <w:t xml:space="preserve">of low birthweight babies </w:t>
      </w:r>
      <w:r w:rsidR="00D16EDF">
        <w:t xml:space="preserve">in women receiving </w:t>
      </w:r>
      <w:r w:rsidR="00D16EDF" w:rsidRPr="00D16EDF">
        <w:t xml:space="preserve">n-3 LC-PUFA </w:t>
      </w:r>
      <w:r w:rsidR="00B366A3">
        <w:t>compared with no n-3 LC-PUFA</w:t>
      </w:r>
      <w:r w:rsidR="00D16EDF">
        <w:t>.</w:t>
      </w:r>
      <w:r w:rsidR="00B366A3">
        <w:t xml:space="preserve"> There was an increased risk of prolonged gestation in </w:t>
      </w:r>
      <w:r w:rsidR="00B366A3" w:rsidRPr="00B366A3">
        <w:t>women receiving n-3 LC-PUFA</w:t>
      </w:r>
      <w:r w:rsidR="00B366A3">
        <w:t xml:space="preserve">, however the certainty of evidence was moderate for this outcome. For the remaining outcomes, the </w:t>
      </w:r>
      <w:r w:rsidR="00B366A3" w:rsidRPr="00B366A3">
        <w:t>95% confidence interval</w:t>
      </w:r>
      <w:r w:rsidR="00B366A3">
        <w:t xml:space="preserve"> of the risk ratio spanned the null value of 1.0.</w:t>
      </w:r>
    </w:p>
    <w:p w14:paraId="12066730" w14:textId="7F82C0DB" w:rsidR="0093759B" w:rsidRPr="00E157FA" w:rsidRDefault="0093759B" w:rsidP="0093759B">
      <w:pPr>
        <w:keepNext/>
        <w:keepLines/>
        <w:rPr>
          <w:b/>
        </w:rPr>
      </w:pPr>
      <w:r>
        <w:rPr>
          <w:b/>
        </w:rPr>
        <w:t>Table 4</w:t>
      </w:r>
      <w:r w:rsidRPr="00E157FA">
        <w:rPr>
          <w:b/>
        </w:rPr>
        <w:t xml:space="preserve">: </w:t>
      </w:r>
      <w:r>
        <w:rPr>
          <w:b/>
        </w:rPr>
        <w:t>E</w:t>
      </w:r>
      <w:r w:rsidRPr="007C4849">
        <w:rPr>
          <w:b/>
        </w:rPr>
        <w:t>ffect</w:t>
      </w:r>
      <w:r>
        <w:rPr>
          <w:b/>
        </w:rPr>
        <w:t>s</w:t>
      </w:r>
      <w:r w:rsidRPr="007C4849">
        <w:rPr>
          <w:b/>
        </w:rPr>
        <w:t xml:space="preserve"> of increasing n-3 LC-PUFA intake</w:t>
      </w:r>
      <w:r>
        <w:rPr>
          <w:b/>
        </w:rPr>
        <w:t xml:space="preserve"> in pregnancy</w:t>
      </w:r>
    </w:p>
    <w:p w14:paraId="1AB14520" w14:textId="77777777" w:rsidR="0093759B" w:rsidRPr="00CA50E4" w:rsidRDefault="0093759B" w:rsidP="0093759B">
      <w:pPr>
        <w:keepNext/>
        <w:keepLines/>
        <w:rPr>
          <w:sz w:val="4"/>
          <w:szCs w:val="4"/>
        </w:rPr>
      </w:pPr>
    </w:p>
    <w:tbl>
      <w:tblPr>
        <w:tblStyle w:val="TableGrid"/>
        <w:tblW w:w="9067" w:type="dxa"/>
        <w:tblLook w:val="04A0" w:firstRow="1" w:lastRow="0" w:firstColumn="1" w:lastColumn="0" w:noHBand="0" w:noVBand="1"/>
        <w:tblCaption w:val="Table 4"/>
        <w:tblDescription w:val="Effects of increasing n-3 LC-PUFA intake in pregnancy"/>
      </w:tblPr>
      <w:tblGrid>
        <w:gridCol w:w="3681"/>
        <w:gridCol w:w="1276"/>
        <w:gridCol w:w="2126"/>
        <w:gridCol w:w="1984"/>
      </w:tblGrid>
      <w:tr w:rsidR="0093759B" w:rsidRPr="002B1D39" w14:paraId="4BB9261C" w14:textId="77777777" w:rsidTr="00D26E0D">
        <w:trPr>
          <w:tblHeader/>
        </w:trPr>
        <w:tc>
          <w:tcPr>
            <w:tcW w:w="3681" w:type="dxa"/>
            <w:shd w:val="clear" w:color="auto" w:fill="9BBB59" w:themeFill="accent3"/>
            <w:vAlign w:val="center"/>
          </w:tcPr>
          <w:p w14:paraId="1DB5A84E" w14:textId="77777777" w:rsidR="0093759B" w:rsidRPr="002B1D39" w:rsidRDefault="0093759B" w:rsidP="00640FFF">
            <w:pPr>
              <w:keepNext/>
              <w:keepLines/>
              <w:spacing w:before="40" w:after="40"/>
              <w:jc w:val="center"/>
              <w:rPr>
                <w:sz w:val="20"/>
                <w:szCs w:val="20"/>
              </w:rPr>
            </w:pPr>
          </w:p>
        </w:tc>
        <w:tc>
          <w:tcPr>
            <w:tcW w:w="1276" w:type="dxa"/>
            <w:shd w:val="clear" w:color="auto" w:fill="9BBB59" w:themeFill="accent3"/>
            <w:vAlign w:val="center"/>
          </w:tcPr>
          <w:p w14:paraId="5D067D58" w14:textId="77777777" w:rsidR="0093759B" w:rsidRPr="002B1D39" w:rsidRDefault="0093759B" w:rsidP="00640FFF">
            <w:pPr>
              <w:keepNext/>
              <w:keepLines/>
              <w:spacing w:before="40" w:after="40"/>
              <w:jc w:val="center"/>
              <w:rPr>
                <w:b/>
                <w:sz w:val="20"/>
                <w:szCs w:val="20"/>
              </w:rPr>
            </w:pPr>
            <w:r w:rsidRPr="002B1D39">
              <w:rPr>
                <w:b/>
                <w:sz w:val="20"/>
                <w:szCs w:val="20"/>
              </w:rPr>
              <w:t>Risk ratio</w:t>
            </w:r>
          </w:p>
        </w:tc>
        <w:tc>
          <w:tcPr>
            <w:tcW w:w="2126" w:type="dxa"/>
            <w:shd w:val="clear" w:color="auto" w:fill="9BBB59" w:themeFill="accent3"/>
            <w:vAlign w:val="center"/>
          </w:tcPr>
          <w:p w14:paraId="5D037DF8" w14:textId="77777777" w:rsidR="0093759B" w:rsidRPr="002B1D39" w:rsidRDefault="0093759B" w:rsidP="00640FFF">
            <w:pPr>
              <w:keepNext/>
              <w:keepLines/>
              <w:spacing w:before="40" w:after="40"/>
              <w:jc w:val="center"/>
              <w:rPr>
                <w:b/>
                <w:sz w:val="20"/>
                <w:szCs w:val="20"/>
              </w:rPr>
            </w:pPr>
            <w:r w:rsidRPr="002B1D39">
              <w:rPr>
                <w:b/>
                <w:sz w:val="20"/>
                <w:szCs w:val="20"/>
              </w:rPr>
              <w:t>95% confidence interval</w:t>
            </w:r>
          </w:p>
        </w:tc>
        <w:tc>
          <w:tcPr>
            <w:tcW w:w="1984" w:type="dxa"/>
            <w:shd w:val="clear" w:color="auto" w:fill="9BBB59" w:themeFill="accent3"/>
            <w:vAlign w:val="center"/>
          </w:tcPr>
          <w:p w14:paraId="6A048D99" w14:textId="77777777" w:rsidR="0093759B" w:rsidRPr="002B1D39" w:rsidRDefault="0093759B" w:rsidP="00640FFF">
            <w:pPr>
              <w:keepNext/>
              <w:keepLines/>
              <w:spacing w:before="40" w:after="40"/>
              <w:jc w:val="center"/>
              <w:rPr>
                <w:b/>
                <w:sz w:val="20"/>
                <w:szCs w:val="20"/>
              </w:rPr>
            </w:pPr>
            <w:r w:rsidRPr="002B1D39">
              <w:rPr>
                <w:b/>
                <w:sz w:val="20"/>
                <w:szCs w:val="20"/>
              </w:rPr>
              <w:t>Certainty</w:t>
            </w:r>
            <w:r>
              <w:rPr>
                <w:b/>
                <w:sz w:val="20"/>
                <w:szCs w:val="20"/>
              </w:rPr>
              <w:t xml:space="preserve"> of evidence</w:t>
            </w:r>
            <w:r w:rsidRPr="00340B19">
              <w:rPr>
                <w:b/>
                <w:sz w:val="16"/>
                <w:szCs w:val="16"/>
                <w:vertAlign w:val="superscript"/>
              </w:rPr>
              <w:t xml:space="preserve"> </w:t>
            </w:r>
            <w:r>
              <w:rPr>
                <w:b/>
                <w:sz w:val="20"/>
                <w:szCs w:val="20"/>
                <w:vertAlign w:val="superscript"/>
              </w:rPr>
              <w:t>1</w:t>
            </w:r>
          </w:p>
        </w:tc>
      </w:tr>
      <w:tr w:rsidR="0093759B" w:rsidRPr="002B1D39" w14:paraId="4A48FECD" w14:textId="77777777" w:rsidTr="0037376C">
        <w:tc>
          <w:tcPr>
            <w:tcW w:w="3681" w:type="dxa"/>
          </w:tcPr>
          <w:p w14:paraId="18F7DFDC" w14:textId="3FE5B3B6" w:rsidR="0093759B" w:rsidRPr="002B1D39" w:rsidRDefault="0093759B" w:rsidP="0037376C">
            <w:pPr>
              <w:keepNext/>
              <w:keepLines/>
              <w:spacing w:before="40" w:after="40"/>
              <w:rPr>
                <w:b/>
                <w:sz w:val="20"/>
                <w:szCs w:val="20"/>
              </w:rPr>
            </w:pPr>
            <w:r w:rsidRPr="0093759B">
              <w:rPr>
                <w:b/>
                <w:sz w:val="20"/>
                <w:szCs w:val="20"/>
              </w:rPr>
              <w:t xml:space="preserve">Preterm birth </w:t>
            </w:r>
            <w:r>
              <w:rPr>
                <w:b/>
                <w:sz w:val="20"/>
                <w:szCs w:val="20"/>
              </w:rPr>
              <w:t>(</w:t>
            </w:r>
            <w:r w:rsidRPr="0093759B">
              <w:rPr>
                <w:b/>
                <w:sz w:val="20"/>
                <w:szCs w:val="20"/>
              </w:rPr>
              <w:t>&lt; 37 weeks</w:t>
            </w:r>
            <w:r>
              <w:rPr>
                <w:b/>
                <w:sz w:val="20"/>
                <w:szCs w:val="20"/>
              </w:rPr>
              <w:t>)</w:t>
            </w:r>
          </w:p>
        </w:tc>
        <w:tc>
          <w:tcPr>
            <w:tcW w:w="1276" w:type="dxa"/>
          </w:tcPr>
          <w:p w14:paraId="7853ACAC" w14:textId="3B5DFA1B" w:rsidR="0093759B" w:rsidRPr="002B1D39" w:rsidRDefault="0093759B" w:rsidP="0037376C">
            <w:pPr>
              <w:keepNext/>
              <w:keepLines/>
              <w:spacing w:before="40" w:after="40"/>
              <w:rPr>
                <w:sz w:val="20"/>
                <w:szCs w:val="20"/>
              </w:rPr>
            </w:pPr>
            <w:r>
              <w:rPr>
                <w:sz w:val="20"/>
                <w:szCs w:val="20"/>
              </w:rPr>
              <w:t>0.89</w:t>
            </w:r>
          </w:p>
        </w:tc>
        <w:tc>
          <w:tcPr>
            <w:tcW w:w="2126" w:type="dxa"/>
          </w:tcPr>
          <w:p w14:paraId="3D1433B4" w14:textId="24F314B7" w:rsidR="0093759B" w:rsidRPr="002B1D39" w:rsidRDefault="0093759B" w:rsidP="0037376C">
            <w:pPr>
              <w:keepNext/>
              <w:keepLines/>
              <w:spacing w:before="40" w:after="40"/>
              <w:rPr>
                <w:sz w:val="20"/>
                <w:szCs w:val="20"/>
              </w:rPr>
            </w:pPr>
            <w:r>
              <w:rPr>
                <w:sz w:val="20"/>
                <w:szCs w:val="20"/>
              </w:rPr>
              <w:t>0.81 to 0.97</w:t>
            </w:r>
          </w:p>
        </w:tc>
        <w:tc>
          <w:tcPr>
            <w:tcW w:w="1984" w:type="dxa"/>
          </w:tcPr>
          <w:p w14:paraId="4B10458D" w14:textId="2059C5B4" w:rsidR="0093759B" w:rsidRPr="002B1D39" w:rsidRDefault="0093759B" w:rsidP="0037376C">
            <w:pPr>
              <w:keepNext/>
              <w:keepLines/>
              <w:spacing w:before="40" w:after="40"/>
              <w:rPr>
                <w:sz w:val="20"/>
                <w:szCs w:val="20"/>
              </w:rPr>
            </w:pPr>
            <w:r>
              <w:rPr>
                <w:sz w:val="20"/>
                <w:szCs w:val="20"/>
              </w:rPr>
              <w:t>High</w:t>
            </w:r>
          </w:p>
        </w:tc>
      </w:tr>
      <w:tr w:rsidR="0093759B" w:rsidRPr="002B1D39" w14:paraId="7C039D60" w14:textId="77777777" w:rsidTr="00640FFF">
        <w:tc>
          <w:tcPr>
            <w:tcW w:w="3681" w:type="dxa"/>
            <w:shd w:val="clear" w:color="auto" w:fill="EAF1DD" w:themeFill="accent3" w:themeFillTint="33"/>
          </w:tcPr>
          <w:p w14:paraId="6D63CA5F" w14:textId="5D0D105C" w:rsidR="0093759B" w:rsidRPr="002B1D39" w:rsidRDefault="0093759B" w:rsidP="0037376C">
            <w:pPr>
              <w:keepNext/>
              <w:keepLines/>
              <w:spacing w:before="40" w:after="40"/>
              <w:rPr>
                <w:b/>
                <w:sz w:val="20"/>
                <w:szCs w:val="20"/>
              </w:rPr>
            </w:pPr>
            <w:r>
              <w:rPr>
                <w:b/>
                <w:sz w:val="20"/>
                <w:szCs w:val="20"/>
              </w:rPr>
              <w:t>E</w:t>
            </w:r>
            <w:r w:rsidRPr="0093759B">
              <w:rPr>
                <w:b/>
                <w:sz w:val="20"/>
                <w:szCs w:val="20"/>
              </w:rPr>
              <w:t xml:space="preserve">arly preterm birth </w:t>
            </w:r>
            <w:r>
              <w:rPr>
                <w:b/>
                <w:sz w:val="20"/>
                <w:szCs w:val="20"/>
              </w:rPr>
              <w:t>(</w:t>
            </w:r>
            <w:r w:rsidRPr="0093759B">
              <w:rPr>
                <w:b/>
                <w:sz w:val="20"/>
                <w:szCs w:val="20"/>
              </w:rPr>
              <w:t>&lt; 34 weeks</w:t>
            </w:r>
            <w:r>
              <w:rPr>
                <w:b/>
                <w:sz w:val="20"/>
                <w:szCs w:val="20"/>
              </w:rPr>
              <w:t>)</w:t>
            </w:r>
          </w:p>
        </w:tc>
        <w:tc>
          <w:tcPr>
            <w:tcW w:w="1276" w:type="dxa"/>
            <w:shd w:val="clear" w:color="auto" w:fill="EAF1DD" w:themeFill="accent3" w:themeFillTint="33"/>
          </w:tcPr>
          <w:p w14:paraId="28579ECA" w14:textId="708BC051" w:rsidR="0093759B" w:rsidRPr="002B1D39" w:rsidRDefault="0093759B" w:rsidP="0037376C">
            <w:pPr>
              <w:keepNext/>
              <w:keepLines/>
              <w:spacing w:before="40" w:after="40"/>
              <w:rPr>
                <w:sz w:val="20"/>
                <w:szCs w:val="20"/>
              </w:rPr>
            </w:pPr>
            <w:r>
              <w:rPr>
                <w:sz w:val="20"/>
                <w:szCs w:val="20"/>
              </w:rPr>
              <w:t>0.58</w:t>
            </w:r>
          </w:p>
        </w:tc>
        <w:tc>
          <w:tcPr>
            <w:tcW w:w="2126" w:type="dxa"/>
            <w:shd w:val="clear" w:color="auto" w:fill="EAF1DD" w:themeFill="accent3" w:themeFillTint="33"/>
          </w:tcPr>
          <w:p w14:paraId="44738406" w14:textId="18B8B5CF" w:rsidR="0093759B" w:rsidRPr="002B1D39" w:rsidRDefault="0093759B" w:rsidP="0037376C">
            <w:pPr>
              <w:keepNext/>
              <w:keepLines/>
              <w:spacing w:before="40" w:after="40"/>
              <w:rPr>
                <w:sz w:val="20"/>
                <w:szCs w:val="20"/>
              </w:rPr>
            </w:pPr>
            <w:r>
              <w:rPr>
                <w:sz w:val="20"/>
                <w:szCs w:val="20"/>
              </w:rPr>
              <w:t>0.44 to 0.77</w:t>
            </w:r>
          </w:p>
        </w:tc>
        <w:tc>
          <w:tcPr>
            <w:tcW w:w="1984" w:type="dxa"/>
            <w:shd w:val="clear" w:color="auto" w:fill="EAF1DD" w:themeFill="accent3" w:themeFillTint="33"/>
          </w:tcPr>
          <w:p w14:paraId="1E9CAF73" w14:textId="1F0ABE0F" w:rsidR="0093759B" w:rsidRPr="002B1D39" w:rsidRDefault="0093759B" w:rsidP="0037376C">
            <w:pPr>
              <w:keepNext/>
              <w:keepLines/>
              <w:spacing w:before="40" w:after="40"/>
              <w:rPr>
                <w:sz w:val="20"/>
                <w:szCs w:val="20"/>
              </w:rPr>
            </w:pPr>
            <w:r>
              <w:rPr>
                <w:sz w:val="20"/>
                <w:szCs w:val="20"/>
              </w:rPr>
              <w:t>High</w:t>
            </w:r>
          </w:p>
        </w:tc>
      </w:tr>
      <w:tr w:rsidR="0093759B" w:rsidRPr="002B1D39" w14:paraId="2A0BE350" w14:textId="77777777" w:rsidTr="0037376C">
        <w:tc>
          <w:tcPr>
            <w:tcW w:w="3681" w:type="dxa"/>
          </w:tcPr>
          <w:p w14:paraId="31B95A78" w14:textId="2CE7DF83" w:rsidR="0093759B" w:rsidRPr="002B1D39" w:rsidRDefault="0093759B" w:rsidP="0093759B">
            <w:pPr>
              <w:keepNext/>
              <w:keepLines/>
              <w:spacing w:before="40" w:after="40"/>
              <w:rPr>
                <w:b/>
                <w:sz w:val="20"/>
                <w:szCs w:val="20"/>
              </w:rPr>
            </w:pPr>
            <w:r w:rsidRPr="0093759B">
              <w:rPr>
                <w:b/>
                <w:sz w:val="20"/>
                <w:szCs w:val="20"/>
              </w:rPr>
              <w:t xml:space="preserve">Prolonged gestation </w:t>
            </w:r>
            <w:r>
              <w:rPr>
                <w:b/>
                <w:sz w:val="20"/>
                <w:szCs w:val="20"/>
              </w:rPr>
              <w:t>(</w:t>
            </w:r>
            <w:r w:rsidRPr="0093759B">
              <w:rPr>
                <w:b/>
                <w:sz w:val="20"/>
                <w:szCs w:val="20"/>
              </w:rPr>
              <w:t>&gt; 42</w:t>
            </w:r>
            <w:r w:rsidR="0037376C">
              <w:rPr>
                <w:b/>
                <w:sz w:val="20"/>
                <w:szCs w:val="20"/>
              </w:rPr>
              <w:t xml:space="preserve"> </w:t>
            </w:r>
            <w:r>
              <w:rPr>
                <w:b/>
                <w:sz w:val="20"/>
                <w:szCs w:val="20"/>
              </w:rPr>
              <w:t>w</w:t>
            </w:r>
            <w:r w:rsidRPr="0093759B">
              <w:rPr>
                <w:b/>
                <w:sz w:val="20"/>
                <w:szCs w:val="20"/>
              </w:rPr>
              <w:t>eeks</w:t>
            </w:r>
            <w:r>
              <w:rPr>
                <w:b/>
                <w:sz w:val="20"/>
                <w:szCs w:val="20"/>
              </w:rPr>
              <w:t>)</w:t>
            </w:r>
          </w:p>
        </w:tc>
        <w:tc>
          <w:tcPr>
            <w:tcW w:w="1276" w:type="dxa"/>
          </w:tcPr>
          <w:p w14:paraId="2ED08B55" w14:textId="030C1136" w:rsidR="0093759B" w:rsidRPr="002B1D39" w:rsidRDefault="0093759B" w:rsidP="0037376C">
            <w:pPr>
              <w:keepNext/>
              <w:keepLines/>
              <w:spacing w:before="40" w:after="40"/>
              <w:rPr>
                <w:sz w:val="20"/>
                <w:szCs w:val="20"/>
              </w:rPr>
            </w:pPr>
            <w:r>
              <w:rPr>
                <w:sz w:val="20"/>
                <w:szCs w:val="20"/>
              </w:rPr>
              <w:t>1.61</w:t>
            </w:r>
          </w:p>
        </w:tc>
        <w:tc>
          <w:tcPr>
            <w:tcW w:w="2126" w:type="dxa"/>
          </w:tcPr>
          <w:p w14:paraId="117DF846" w14:textId="78C533D5" w:rsidR="0093759B" w:rsidRPr="002B1D39" w:rsidRDefault="0093759B" w:rsidP="0037376C">
            <w:pPr>
              <w:keepNext/>
              <w:keepLines/>
              <w:spacing w:before="40" w:after="40"/>
              <w:rPr>
                <w:sz w:val="20"/>
                <w:szCs w:val="20"/>
              </w:rPr>
            </w:pPr>
            <w:r>
              <w:rPr>
                <w:sz w:val="20"/>
                <w:szCs w:val="20"/>
              </w:rPr>
              <w:t>1.11 to 2.33</w:t>
            </w:r>
          </w:p>
        </w:tc>
        <w:tc>
          <w:tcPr>
            <w:tcW w:w="1984" w:type="dxa"/>
          </w:tcPr>
          <w:p w14:paraId="28AA5858" w14:textId="0FBB1337" w:rsidR="0093759B" w:rsidRPr="002B1D39" w:rsidRDefault="0093759B" w:rsidP="0037376C">
            <w:pPr>
              <w:keepNext/>
              <w:keepLines/>
              <w:spacing w:before="40" w:after="40"/>
              <w:rPr>
                <w:sz w:val="20"/>
                <w:szCs w:val="20"/>
              </w:rPr>
            </w:pPr>
            <w:r>
              <w:rPr>
                <w:sz w:val="20"/>
                <w:szCs w:val="20"/>
              </w:rPr>
              <w:t>Moderate</w:t>
            </w:r>
          </w:p>
        </w:tc>
      </w:tr>
      <w:tr w:rsidR="0093759B" w:rsidRPr="002B1D39" w14:paraId="4AEB46B8" w14:textId="77777777" w:rsidTr="00640FFF">
        <w:tc>
          <w:tcPr>
            <w:tcW w:w="3681" w:type="dxa"/>
            <w:shd w:val="clear" w:color="auto" w:fill="EAF1DD" w:themeFill="accent3" w:themeFillTint="33"/>
          </w:tcPr>
          <w:p w14:paraId="251C4882" w14:textId="486E8449" w:rsidR="0093759B" w:rsidRDefault="0093759B" w:rsidP="0037376C">
            <w:pPr>
              <w:keepNext/>
              <w:keepLines/>
              <w:spacing w:before="40" w:after="40"/>
              <w:rPr>
                <w:b/>
                <w:sz w:val="20"/>
                <w:szCs w:val="20"/>
              </w:rPr>
            </w:pPr>
            <w:r>
              <w:rPr>
                <w:b/>
                <w:sz w:val="20"/>
                <w:szCs w:val="20"/>
              </w:rPr>
              <w:t>P</w:t>
            </w:r>
            <w:r w:rsidRPr="0093759B">
              <w:rPr>
                <w:b/>
                <w:sz w:val="20"/>
                <w:szCs w:val="20"/>
              </w:rPr>
              <w:t>erinatal death</w:t>
            </w:r>
          </w:p>
        </w:tc>
        <w:tc>
          <w:tcPr>
            <w:tcW w:w="1276" w:type="dxa"/>
            <w:shd w:val="clear" w:color="auto" w:fill="EAF1DD" w:themeFill="accent3" w:themeFillTint="33"/>
          </w:tcPr>
          <w:p w14:paraId="491671E7" w14:textId="0C7A8F26" w:rsidR="0093759B" w:rsidRPr="002B1D39" w:rsidRDefault="0093759B" w:rsidP="0037376C">
            <w:pPr>
              <w:keepNext/>
              <w:keepLines/>
              <w:spacing w:before="40" w:after="40"/>
              <w:rPr>
                <w:sz w:val="20"/>
                <w:szCs w:val="20"/>
              </w:rPr>
            </w:pPr>
            <w:r>
              <w:rPr>
                <w:sz w:val="20"/>
                <w:szCs w:val="20"/>
              </w:rPr>
              <w:t>0.75</w:t>
            </w:r>
          </w:p>
        </w:tc>
        <w:tc>
          <w:tcPr>
            <w:tcW w:w="2126" w:type="dxa"/>
            <w:shd w:val="clear" w:color="auto" w:fill="EAF1DD" w:themeFill="accent3" w:themeFillTint="33"/>
          </w:tcPr>
          <w:p w14:paraId="7D1C7A1D" w14:textId="2900B74D" w:rsidR="0093759B" w:rsidRPr="002B1D39" w:rsidRDefault="0093759B" w:rsidP="0037376C">
            <w:pPr>
              <w:keepNext/>
              <w:keepLines/>
              <w:spacing w:before="40" w:after="40"/>
              <w:rPr>
                <w:sz w:val="20"/>
                <w:szCs w:val="20"/>
              </w:rPr>
            </w:pPr>
            <w:r>
              <w:rPr>
                <w:sz w:val="20"/>
                <w:szCs w:val="20"/>
              </w:rPr>
              <w:t>0.54 to 1.03</w:t>
            </w:r>
          </w:p>
        </w:tc>
        <w:tc>
          <w:tcPr>
            <w:tcW w:w="1984" w:type="dxa"/>
            <w:shd w:val="clear" w:color="auto" w:fill="EAF1DD" w:themeFill="accent3" w:themeFillTint="33"/>
          </w:tcPr>
          <w:p w14:paraId="4885AA83" w14:textId="5A6447AA" w:rsidR="0093759B" w:rsidRDefault="0093759B" w:rsidP="0037376C">
            <w:pPr>
              <w:keepNext/>
              <w:keepLines/>
              <w:spacing w:before="40" w:after="40"/>
              <w:rPr>
                <w:sz w:val="20"/>
                <w:szCs w:val="20"/>
              </w:rPr>
            </w:pPr>
            <w:r>
              <w:rPr>
                <w:sz w:val="20"/>
                <w:szCs w:val="20"/>
              </w:rPr>
              <w:t>Moderate</w:t>
            </w:r>
          </w:p>
        </w:tc>
      </w:tr>
      <w:tr w:rsidR="0093759B" w:rsidRPr="002B1D39" w14:paraId="3A8D0451" w14:textId="77777777" w:rsidTr="0037376C">
        <w:tc>
          <w:tcPr>
            <w:tcW w:w="3681" w:type="dxa"/>
          </w:tcPr>
          <w:p w14:paraId="3F04E699" w14:textId="394C82B5" w:rsidR="0093759B" w:rsidRDefault="0093759B" w:rsidP="0037376C">
            <w:pPr>
              <w:keepNext/>
              <w:keepLines/>
              <w:spacing w:before="40" w:after="40"/>
              <w:rPr>
                <w:b/>
                <w:sz w:val="20"/>
                <w:szCs w:val="20"/>
              </w:rPr>
            </w:pPr>
            <w:r>
              <w:rPr>
                <w:b/>
                <w:sz w:val="20"/>
                <w:szCs w:val="20"/>
              </w:rPr>
              <w:t>N</w:t>
            </w:r>
            <w:r w:rsidRPr="0093759B">
              <w:rPr>
                <w:b/>
                <w:sz w:val="20"/>
                <w:szCs w:val="20"/>
              </w:rPr>
              <w:t>eonatal care admissions</w:t>
            </w:r>
          </w:p>
        </w:tc>
        <w:tc>
          <w:tcPr>
            <w:tcW w:w="1276" w:type="dxa"/>
          </w:tcPr>
          <w:p w14:paraId="3A0F48AF" w14:textId="3613B5A6" w:rsidR="0093759B" w:rsidRPr="002B1D39" w:rsidRDefault="0093759B" w:rsidP="0037376C">
            <w:pPr>
              <w:keepNext/>
              <w:keepLines/>
              <w:spacing w:before="40" w:after="40"/>
              <w:rPr>
                <w:sz w:val="20"/>
                <w:szCs w:val="20"/>
              </w:rPr>
            </w:pPr>
            <w:r>
              <w:rPr>
                <w:sz w:val="20"/>
                <w:szCs w:val="20"/>
              </w:rPr>
              <w:t>0.92</w:t>
            </w:r>
          </w:p>
        </w:tc>
        <w:tc>
          <w:tcPr>
            <w:tcW w:w="2126" w:type="dxa"/>
          </w:tcPr>
          <w:p w14:paraId="776437E3" w14:textId="0D986D4E" w:rsidR="0093759B" w:rsidRPr="002B1D39" w:rsidRDefault="0093759B" w:rsidP="0037376C">
            <w:pPr>
              <w:keepNext/>
              <w:keepLines/>
              <w:spacing w:before="40" w:after="40"/>
              <w:rPr>
                <w:sz w:val="20"/>
                <w:szCs w:val="20"/>
              </w:rPr>
            </w:pPr>
            <w:r>
              <w:rPr>
                <w:sz w:val="20"/>
                <w:szCs w:val="20"/>
              </w:rPr>
              <w:t>0.83 to 1.03</w:t>
            </w:r>
          </w:p>
        </w:tc>
        <w:tc>
          <w:tcPr>
            <w:tcW w:w="1984" w:type="dxa"/>
          </w:tcPr>
          <w:p w14:paraId="5AC10942" w14:textId="6C0DF26A" w:rsidR="0093759B" w:rsidRDefault="0093759B" w:rsidP="0037376C">
            <w:pPr>
              <w:keepNext/>
              <w:keepLines/>
              <w:spacing w:before="40" w:after="40"/>
              <w:rPr>
                <w:sz w:val="20"/>
                <w:szCs w:val="20"/>
              </w:rPr>
            </w:pPr>
            <w:r>
              <w:rPr>
                <w:sz w:val="20"/>
                <w:szCs w:val="20"/>
              </w:rPr>
              <w:t>Moderate</w:t>
            </w:r>
          </w:p>
        </w:tc>
      </w:tr>
      <w:tr w:rsidR="0093759B" w:rsidRPr="002B1D39" w14:paraId="4304469F" w14:textId="77777777" w:rsidTr="00640FFF">
        <w:tc>
          <w:tcPr>
            <w:tcW w:w="3681" w:type="dxa"/>
            <w:shd w:val="clear" w:color="auto" w:fill="EAF1DD" w:themeFill="accent3" w:themeFillTint="33"/>
          </w:tcPr>
          <w:p w14:paraId="4EEB5B03" w14:textId="3CA994CD" w:rsidR="0093759B" w:rsidRPr="002B1D39" w:rsidRDefault="0037376C" w:rsidP="0037376C">
            <w:pPr>
              <w:keepNext/>
              <w:keepLines/>
              <w:spacing w:before="40" w:after="40"/>
              <w:rPr>
                <w:b/>
                <w:sz w:val="20"/>
                <w:szCs w:val="20"/>
              </w:rPr>
            </w:pPr>
            <w:r>
              <w:rPr>
                <w:b/>
                <w:sz w:val="20"/>
                <w:szCs w:val="20"/>
              </w:rPr>
              <w:t>L</w:t>
            </w:r>
            <w:r w:rsidRPr="0037376C">
              <w:rPr>
                <w:b/>
                <w:sz w:val="20"/>
                <w:szCs w:val="20"/>
              </w:rPr>
              <w:t>ow birthweight</w:t>
            </w:r>
          </w:p>
        </w:tc>
        <w:tc>
          <w:tcPr>
            <w:tcW w:w="1276" w:type="dxa"/>
            <w:shd w:val="clear" w:color="auto" w:fill="EAF1DD" w:themeFill="accent3" w:themeFillTint="33"/>
          </w:tcPr>
          <w:p w14:paraId="360F55C9" w14:textId="55EDD5B5" w:rsidR="0093759B" w:rsidRPr="002B1D39" w:rsidRDefault="0037376C" w:rsidP="0037376C">
            <w:pPr>
              <w:keepNext/>
              <w:keepLines/>
              <w:spacing w:before="40" w:after="40"/>
              <w:rPr>
                <w:sz w:val="20"/>
                <w:szCs w:val="20"/>
              </w:rPr>
            </w:pPr>
            <w:r>
              <w:rPr>
                <w:sz w:val="20"/>
                <w:szCs w:val="20"/>
              </w:rPr>
              <w:t>0.90</w:t>
            </w:r>
          </w:p>
        </w:tc>
        <w:tc>
          <w:tcPr>
            <w:tcW w:w="2126" w:type="dxa"/>
            <w:shd w:val="clear" w:color="auto" w:fill="EAF1DD" w:themeFill="accent3" w:themeFillTint="33"/>
          </w:tcPr>
          <w:p w14:paraId="055AD5BE" w14:textId="06943702" w:rsidR="0093759B" w:rsidRPr="002B1D39" w:rsidRDefault="0037376C" w:rsidP="0037376C">
            <w:pPr>
              <w:keepNext/>
              <w:keepLines/>
              <w:spacing w:before="40" w:after="40"/>
              <w:rPr>
                <w:sz w:val="20"/>
                <w:szCs w:val="20"/>
              </w:rPr>
            </w:pPr>
            <w:r>
              <w:rPr>
                <w:sz w:val="20"/>
                <w:szCs w:val="20"/>
              </w:rPr>
              <w:t>0.82 to 0.99</w:t>
            </w:r>
          </w:p>
        </w:tc>
        <w:tc>
          <w:tcPr>
            <w:tcW w:w="1984" w:type="dxa"/>
            <w:shd w:val="clear" w:color="auto" w:fill="EAF1DD" w:themeFill="accent3" w:themeFillTint="33"/>
          </w:tcPr>
          <w:p w14:paraId="08C685B6" w14:textId="49130F71" w:rsidR="0093759B" w:rsidRPr="002B1D39" w:rsidRDefault="0037376C" w:rsidP="0037376C">
            <w:pPr>
              <w:keepNext/>
              <w:keepLines/>
              <w:spacing w:before="40" w:after="40"/>
              <w:rPr>
                <w:sz w:val="20"/>
                <w:szCs w:val="20"/>
              </w:rPr>
            </w:pPr>
            <w:r>
              <w:rPr>
                <w:sz w:val="20"/>
                <w:szCs w:val="20"/>
              </w:rPr>
              <w:t>High</w:t>
            </w:r>
          </w:p>
        </w:tc>
      </w:tr>
      <w:tr w:rsidR="0093759B" w:rsidRPr="002B1D39" w14:paraId="5D40C9D5" w14:textId="77777777" w:rsidTr="0037376C">
        <w:tc>
          <w:tcPr>
            <w:tcW w:w="3681" w:type="dxa"/>
          </w:tcPr>
          <w:p w14:paraId="161621BF" w14:textId="0FE04F2D" w:rsidR="0093759B" w:rsidRPr="002B1D39" w:rsidRDefault="0037376C" w:rsidP="0037376C">
            <w:pPr>
              <w:keepNext/>
              <w:keepLines/>
              <w:spacing w:before="40" w:after="40"/>
              <w:rPr>
                <w:b/>
                <w:sz w:val="20"/>
                <w:szCs w:val="20"/>
              </w:rPr>
            </w:pPr>
            <w:r>
              <w:rPr>
                <w:b/>
                <w:sz w:val="20"/>
                <w:szCs w:val="20"/>
              </w:rPr>
              <w:t>L</w:t>
            </w:r>
            <w:r w:rsidRPr="0037376C">
              <w:rPr>
                <w:b/>
                <w:sz w:val="20"/>
                <w:szCs w:val="20"/>
              </w:rPr>
              <w:t>arge-</w:t>
            </w:r>
            <w:r>
              <w:rPr>
                <w:b/>
                <w:sz w:val="20"/>
                <w:szCs w:val="20"/>
              </w:rPr>
              <w:t>for-gestational age</w:t>
            </w:r>
          </w:p>
        </w:tc>
        <w:tc>
          <w:tcPr>
            <w:tcW w:w="1276" w:type="dxa"/>
            <w:tcBorders>
              <w:bottom w:val="single" w:sz="4" w:space="0" w:color="auto"/>
            </w:tcBorders>
          </w:tcPr>
          <w:p w14:paraId="6A196A03" w14:textId="408734F6" w:rsidR="0093759B" w:rsidRPr="002B1D39" w:rsidRDefault="0037376C" w:rsidP="0037376C">
            <w:pPr>
              <w:keepNext/>
              <w:keepLines/>
              <w:spacing w:before="40" w:after="40"/>
              <w:rPr>
                <w:sz w:val="20"/>
                <w:szCs w:val="20"/>
              </w:rPr>
            </w:pPr>
            <w:r>
              <w:rPr>
                <w:sz w:val="20"/>
                <w:szCs w:val="20"/>
              </w:rPr>
              <w:t>1.15</w:t>
            </w:r>
          </w:p>
        </w:tc>
        <w:tc>
          <w:tcPr>
            <w:tcW w:w="2126" w:type="dxa"/>
            <w:tcBorders>
              <w:bottom w:val="single" w:sz="4" w:space="0" w:color="auto"/>
            </w:tcBorders>
          </w:tcPr>
          <w:p w14:paraId="6C04D5D2" w14:textId="24AEFA1A" w:rsidR="0093759B" w:rsidRPr="002B1D39" w:rsidRDefault="0037376C" w:rsidP="0037376C">
            <w:pPr>
              <w:keepNext/>
              <w:keepLines/>
              <w:spacing w:before="40" w:after="40"/>
              <w:rPr>
                <w:sz w:val="20"/>
                <w:szCs w:val="20"/>
              </w:rPr>
            </w:pPr>
            <w:r>
              <w:rPr>
                <w:sz w:val="20"/>
                <w:szCs w:val="20"/>
              </w:rPr>
              <w:t>0.97 to 1.36</w:t>
            </w:r>
          </w:p>
        </w:tc>
        <w:tc>
          <w:tcPr>
            <w:tcW w:w="1984" w:type="dxa"/>
            <w:tcBorders>
              <w:bottom w:val="single" w:sz="4" w:space="0" w:color="auto"/>
            </w:tcBorders>
          </w:tcPr>
          <w:p w14:paraId="108BC63D" w14:textId="31BDF1E6" w:rsidR="0093759B" w:rsidRPr="002B1D39" w:rsidRDefault="0037376C" w:rsidP="0037376C">
            <w:pPr>
              <w:keepNext/>
              <w:keepLines/>
              <w:spacing w:before="40" w:after="40"/>
              <w:rPr>
                <w:sz w:val="20"/>
                <w:szCs w:val="20"/>
              </w:rPr>
            </w:pPr>
            <w:r>
              <w:rPr>
                <w:sz w:val="20"/>
                <w:szCs w:val="20"/>
              </w:rPr>
              <w:t>Moderate</w:t>
            </w:r>
          </w:p>
        </w:tc>
      </w:tr>
      <w:tr w:rsidR="0093759B" w:rsidRPr="002B1D39" w14:paraId="519F43AB" w14:textId="77777777" w:rsidTr="00640FFF">
        <w:tc>
          <w:tcPr>
            <w:tcW w:w="3681" w:type="dxa"/>
            <w:shd w:val="clear" w:color="auto" w:fill="EAF1DD" w:themeFill="accent3" w:themeFillTint="33"/>
          </w:tcPr>
          <w:p w14:paraId="198BC8A6" w14:textId="3D04BA8C" w:rsidR="0093759B" w:rsidRPr="002B1D39" w:rsidRDefault="0037376C" w:rsidP="0037376C">
            <w:pPr>
              <w:keepNext/>
              <w:keepLines/>
              <w:spacing w:before="40" w:after="40"/>
              <w:rPr>
                <w:b/>
                <w:sz w:val="20"/>
                <w:szCs w:val="20"/>
              </w:rPr>
            </w:pPr>
            <w:r>
              <w:rPr>
                <w:b/>
                <w:sz w:val="20"/>
                <w:szCs w:val="20"/>
              </w:rPr>
              <w:t>Induction post-term</w:t>
            </w:r>
          </w:p>
        </w:tc>
        <w:tc>
          <w:tcPr>
            <w:tcW w:w="1276" w:type="dxa"/>
            <w:tcBorders>
              <w:bottom w:val="single" w:sz="4" w:space="0" w:color="auto"/>
            </w:tcBorders>
            <w:shd w:val="clear" w:color="auto" w:fill="EAF1DD" w:themeFill="accent3" w:themeFillTint="33"/>
          </w:tcPr>
          <w:p w14:paraId="229D3ABC" w14:textId="115CD2B0" w:rsidR="0093759B" w:rsidRPr="002B1D39" w:rsidRDefault="0037376C" w:rsidP="0037376C">
            <w:pPr>
              <w:keepNext/>
              <w:keepLines/>
              <w:spacing w:before="40" w:after="40"/>
              <w:rPr>
                <w:sz w:val="20"/>
                <w:szCs w:val="20"/>
              </w:rPr>
            </w:pPr>
            <w:r>
              <w:rPr>
                <w:sz w:val="20"/>
                <w:szCs w:val="20"/>
              </w:rPr>
              <w:t>0.82</w:t>
            </w:r>
          </w:p>
        </w:tc>
        <w:tc>
          <w:tcPr>
            <w:tcW w:w="2126" w:type="dxa"/>
            <w:tcBorders>
              <w:bottom w:val="single" w:sz="4" w:space="0" w:color="auto"/>
            </w:tcBorders>
            <w:shd w:val="clear" w:color="auto" w:fill="EAF1DD" w:themeFill="accent3" w:themeFillTint="33"/>
          </w:tcPr>
          <w:p w14:paraId="04E2FB25" w14:textId="6CFE3144" w:rsidR="0093759B" w:rsidRPr="002B1D39" w:rsidRDefault="0037376C" w:rsidP="0037376C">
            <w:pPr>
              <w:keepNext/>
              <w:keepLines/>
              <w:spacing w:before="40" w:after="40"/>
              <w:rPr>
                <w:sz w:val="20"/>
                <w:szCs w:val="20"/>
              </w:rPr>
            </w:pPr>
            <w:r>
              <w:rPr>
                <w:sz w:val="20"/>
                <w:szCs w:val="20"/>
              </w:rPr>
              <w:t>0.22 to 2.98</w:t>
            </w:r>
          </w:p>
        </w:tc>
        <w:tc>
          <w:tcPr>
            <w:tcW w:w="1984" w:type="dxa"/>
            <w:tcBorders>
              <w:bottom w:val="single" w:sz="4" w:space="0" w:color="auto"/>
            </w:tcBorders>
            <w:shd w:val="clear" w:color="auto" w:fill="EAF1DD" w:themeFill="accent3" w:themeFillTint="33"/>
          </w:tcPr>
          <w:p w14:paraId="12C95A70" w14:textId="3724E463" w:rsidR="0093759B" w:rsidRDefault="0037376C" w:rsidP="0037376C">
            <w:pPr>
              <w:keepNext/>
              <w:keepLines/>
              <w:spacing w:before="40" w:after="40"/>
              <w:rPr>
                <w:sz w:val="20"/>
                <w:szCs w:val="20"/>
              </w:rPr>
            </w:pPr>
            <w:r>
              <w:rPr>
                <w:sz w:val="20"/>
                <w:szCs w:val="20"/>
              </w:rPr>
              <w:t>Low</w:t>
            </w:r>
          </w:p>
        </w:tc>
      </w:tr>
      <w:tr w:rsidR="0093759B" w:rsidRPr="002B1D39" w14:paraId="08D18C0A" w14:textId="77777777" w:rsidTr="0037376C">
        <w:tc>
          <w:tcPr>
            <w:tcW w:w="3681" w:type="dxa"/>
          </w:tcPr>
          <w:p w14:paraId="65F3CDD0" w14:textId="3F946820" w:rsidR="0093759B" w:rsidRDefault="0037376C" w:rsidP="0037376C">
            <w:pPr>
              <w:keepNext/>
              <w:keepLines/>
              <w:spacing w:before="40" w:after="40"/>
              <w:rPr>
                <w:b/>
                <w:sz w:val="20"/>
                <w:szCs w:val="20"/>
              </w:rPr>
            </w:pPr>
            <w:r>
              <w:rPr>
                <w:b/>
                <w:sz w:val="20"/>
                <w:szCs w:val="20"/>
              </w:rPr>
              <w:t>M</w:t>
            </w:r>
            <w:r w:rsidRPr="0037376C">
              <w:rPr>
                <w:b/>
                <w:sz w:val="20"/>
                <w:szCs w:val="20"/>
              </w:rPr>
              <w:t>aternal serious adverse events</w:t>
            </w:r>
          </w:p>
        </w:tc>
        <w:tc>
          <w:tcPr>
            <w:tcW w:w="1276" w:type="dxa"/>
            <w:tcBorders>
              <w:bottom w:val="single" w:sz="4" w:space="0" w:color="auto"/>
            </w:tcBorders>
          </w:tcPr>
          <w:p w14:paraId="552B8478" w14:textId="365829B3" w:rsidR="0093759B" w:rsidRPr="002B1D39" w:rsidRDefault="0037376C" w:rsidP="0037376C">
            <w:pPr>
              <w:keepNext/>
              <w:keepLines/>
              <w:spacing w:before="40" w:after="40"/>
              <w:rPr>
                <w:sz w:val="20"/>
                <w:szCs w:val="20"/>
              </w:rPr>
            </w:pPr>
            <w:r>
              <w:rPr>
                <w:sz w:val="20"/>
                <w:szCs w:val="20"/>
              </w:rPr>
              <w:t>1.04</w:t>
            </w:r>
          </w:p>
        </w:tc>
        <w:tc>
          <w:tcPr>
            <w:tcW w:w="2126" w:type="dxa"/>
            <w:tcBorders>
              <w:bottom w:val="single" w:sz="4" w:space="0" w:color="auto"/>
            </w:tcBorders>
          </w:tcPr>
          <w:p w14:paraId="0185DC9E" w14:textId="632FF22D" w:rsidR="0093759B" w:rsidRPr="002B1D39" w:rsidRDefault="0037376C" w:rsidP="0037376C">
            <w:pPr>
              <w:keepNext/>
              <w:keepLines/>
              <w:spacing w:before="40" w:after="40"/>
              <w:rPr>
                <w:sz w:val="20"/>
                <w:szCs w:val="20"/>
              </w:rPr>
            </w:pPr>
            <w:r>
              <w:rPr>
                <w:sz w:val="20"/>
                <w:szCs w:val="20"/>
              </w:rPr>
              <w:t>0.40 to 2.72</w:t>
            </w:r>
          </w:p>
        </w:tc>
        <w:tc>
          <w:tcPr>
            <w:tcW w:w="1984" w:type="dxa"/>
            <w:tcBorders>
              <w:bottom w:val="single" w:sz="4" w:space="0" w:color="auto"/>
            </w:tcBorders>
          </w:tcPr>
          <w:p w14:paraId="076D57E4" w14:textId="73CEDD61" w:rsidR="0093759B" w:rsidRDefault="0037376C" w:rsidP="0037376C">
            <w:pPr>
              <w:keepNext/>
              <w:keepLines/>
              <w:spacing w:before="40" w:after="40"/>
              <w:rPr>
                <w:sz w:val="20"/>
                <w:szCs w:val="20"/>
              </w:rPr>
            </w:pPr>
            <w:r>
              <w:rPr>
                <w:sz w:val="20"/>
                <w:szCs w:val="20"/>
              </w:rPr>
              <w:t>Low</w:t>
            </w:r>
          </w:p>
        </w:tc>
      </w:tr>
      <w:tr w:rsidR="0093759B" w:rsidRPr="002B1D39" w14:paraId="01D438EB" w14:textId="77777777" w:rsidTr="00640FFF">
        <w:trPr>
          <w:trHeight w:val="129"/>
        </w:trPr>
        <w:tc>
          <w:tcPr>
            <w:tcW w:w="3681" w:type="dxa"/>
            <w:shd w:val="clear" w:color="auto" w:fill="EAF1DD" w:themeFill="accent3" w:themeFillTint="33"/>
          </w:tcPr>
          <w:p w14:paraId="69F6222D" w14:textId="4F50948F" w:rsidR="0093759B" w:rsidRPr="00F6671B" w:rsidRDefault="0037376C" w:rsidP="0037376C">
            <w:pPr>
              <w:keepNext/>
              <w:keepLines/>
              <w:spacing w:before="40" w:after="40"/>
              <w:rPr>
                <w:b/>
                <w:sz w:val="20"/>
                <w:szCs w:val="20"/>
              </w:rPr>
            </w:pPr>
            <w:r>
              <w:rPr>
                <w:b/>
                <w:sz w:val="20"/>
                <w:szCs w:val="20"/>
              </w:rPr>
              <w:t>P</w:t>
            </w:r>
            <w:r w:rsidRPr="0037376C">
              <w:rPr>
                <w:b/>
                <w:sz w:val="20"/>
                <w:szCs w:val="20"/>
              </w:rPr>
              <w:t>ostnatal depression</w:t>
            </w:r>
          </w:p>
        </w:tc>
        <w:tc>
          <w:tcPr>
            <w:tcW w:w="1276" w:type="dxa"/>
            <w:tcBorders>
              <w:bottom w:val="single" w:sz="4" w:space="0" w:color="auto"/>
            </w:tcBorders>
            <w:shd w:val="clear" w:color="auto" w:fill="EAF1DD" w:themeFill="accent3" w:themeFillTint="33"/>
            <w:vAlign w:val="bottom"/>
          </w:tcPr>
          <w:p w14:paraId="228A05EF" w14:textId="077EC135" w:rsidR="0093759B" w:rsidRDefault="0037376C" w:rsidP="0037376C">
            <w:pPr>
              <w:keepNext/>
              <w:keepLines/>
              <w:spacing w:before="40" w:after="40"/>
              <w:rPr>
                <w:sz w:val="20"/>
                <w:szCs w:val="20"/>
              </w:rPr>
            </w:pPr>
            <w:r>
              <w:rPr>
                <w:sz w:val="20"/>
                <w:szCs w:val="20"/>
              </w:rPr>
              <w:t>0.99</w:t>
            </w:r>
          </w:p>
        </w:tc>
        <w:tc>
          <w:tcPr>
            <w:tcW w:w="2126" w:type="dxa"/>
            <w:tcBorders>
              <w:bottom w:val="single" w:sz="4" w:space="0" w:color="auto"/>
            </w:tcBorders>
            <w:shd w:val="clear" w:color="auto" w:fill="EAF1DD" w:themeFill="accent3" w:themeFillTint="33"/>
          </w:tcPr>
          <w:p w14:paraId="24125B12" w14:textId="4706DFDC" w:rsidR="0093759B" w:rsidRPr="00F6671B" w:rsidRDefault="0037376C" w:rsidP="0037376C">
            <w:pPr>
              <w:keepNext/>
              <w:keepLines/>
              <w:spacing w:before="40" w:after="40"/>
              <w:rPr>
                <w:sz w:val="20"/>
                <w:szCs w:val="20"/>
              </w:rPr>
            </w:pPr>
            <w:r>
              <w:rPr>
                <w:sz w:val="20"/>
                <w:szCs w:val="20"/>
              </w:rPr>
              <w:t>0.56 to 1.77</w:t>
            </w:r>
          </w:p>
        </w:tc>
        <w:tc>
          <w:tcPr>
            <w:tcW w:w="1984" w:type="dxa"/>
            <w:tcBorders>
              <w:bottom w:val="single" w:sz="4" w:space="0" w:color="auto"/>
            </w:tcBorders>
            <w:shd w:val="clear" w:color="auto" w:fill="EAF1DD" w:themeFill="accent3" w:themeFillTint="33"/>
          </w:tcPr>
          <w:p w14:paraId="6F3C92AF" w14:textId="74E2171B" w:rsidR="0093759B" w:rsidRDefault="0037376C" w:rsidP="0037376C">
            <w:pPr>
              <w:keepNext/>
              <w:keepLines/>
              <w:spacing w:before="40" w:after="40"/>
              <w:rPr>
                <w:sz w:val="20"/>
                <w:szCs w:val="20"/>
              </w:rPr>
            </w:pPr>
            <w:r>
              <w:rPr>
                <w:sz w:val="20"/>
                <w:szCs w:val="20"/>
              </w:rPr>
              <w:t>Low</w:t>
            </w:r>
          </w:p>
        </w:tc>
      </w:tr>
      <w:tr w:rsidR="0093759B" w:rsidRPr="002B1D39" w14:paraId="52AD9DF9" w14:textId="77777777" w:rsidTr="0037376C">
        <w:trPr>
          <w:trHeight w:val="222"/>
        </w:trPr>
        <w:tc>
          <w:tcPr>
            <w:tcW w:w="3681" w:type="dxa"/>
            <w:tcBorders>
              <w:right w:val="single" w:sz="4" w:space="0" w:color="auto"/>
            </w:tcBorders>
          </w:tcPr>
          <w:p w14:paraId="45982DDE" w14:textId="1CB97094" w:rsidR="0093759B" w:rsidRDefault="0037376C" w:rsidP="0037376C">
            <w:pPr>
              <w:keepNext/>
              <w:keepLines/>
              <w:spacing w:before="40"/>
              <w:rPr>
                <w:b/>
                <w:sz w:val="20"/>
                <w:szCs w:val="20"/>
              </w:rPr>
            </w:pPr>
            <w:r>
              <w:rPr>
                <w:b/>
                <w:sz w:val="20"/>
                <w:szCs w:val="20"/>
              </w:rPr>
              <w:t>P</w:t>
            </w:r>
            <w:r w:rsidRPr="0037376C">
              <w:rPr>
                <w:b/>
                <w:sz w:val="20"/>
                <w:szCs w:val="20"/>
              </w:rPr>
              <w:t>re-eclampsia</w:t>
            </w:r>
          </w:p>
        </w:tc>
        <w:tc>
          <w:tcPr>
            <w:tcW w:w="1276" w:type="dxa"/>
            <w:tcBorders>
              <w:top w:val="single" w:sz="4" w:space="0" w:color="auto"/>
              <w:left w:val="single" w:sz="4" w:space="0" w:color="auto"/>
              <w:right w:val="single" w:sz="4" w:space="0" w:color="auto"/>
            </w:tcBorders>
          </w:tcPr>
          <w:p w14:paraId="7A2474B7" w14:textId="24688866" w:rsidR="0093759B" w:rsidRPr="0037376C" w:rsidRDefault="0037376C" w:rsidP="0037376C">
            <w:pPr>
              <w:keepNext/>
              <w:keepLines/>
              <w:spacing w:before="40"/>
              <w:rPr>
                <w:sz w:val="20"/>
                <w:szCs w:val="20"/>
              </w:rPr>
            </w:pPr>
            <w:r w:rsidRPr="0037376C">
              <w:rPr>
                <w:sz w:val="20"/>
                <w:szCs w:val="20"/>
              </w:rPr>
              <w:t>0.84</w:t>
            </w:r>
          </w:p>
        </w:tc>
        <w:tc>
          <w:tcPr>
            <w:tcW w:w="2126" w:type="dxa"/>
            <w:tcBorders>
              <w:top w:val="single" w:sz="4" w:space="0" w:color="auto"/>
              <w:left w:val="single" w:sz="4" w:space="0" w:color="auto"/>
              <w:bottom w:val="single" w:sz="4" w:space="0" w:color="auto"/>
              <w:right w:val="single" w:sz="4" w:space="0" w:color="auto"/>
            </w:tcBorders>
          </w:tcPr>
          <w:p w14:paraId="639E83DE" w14:textId="4B1B03F8" w:rsidR="0093759B" w:rsidRPr="002B1D39" w:rsidRDefault="0037376C" w:rsidP="0037376C">
            <w:pPr>
              <w:keepNext/>
              <w:keepLines/>
              <w:spacing w:before="40"/>
              <w:rPr>
                <w:sz w:val="20"/>
                <w:szCs w:val="20"/>
              </w:rPr>
            </w:pPr>
            <w:r>
              <w:rPr>
                <w:sz w:val="20"/>
                <w:szCs w:val="20"/>
              </w:rPr>
              <w:t>0.69 to 1.01</w:t>
            </w:r>
          </w:p>
        </w:tc>
        <w:tc>
          <w:tcPr>
            <w:tcW w:w="1984" w:type="dxa"/>
            <w:tcBorders>
              <w:top w:val="single" w:sz="4" w:space="0" w:color="auto"/>
              <w:left w:val="single" w:sz="4" w:space="0" w:color="auto"/>
              <w:bottom w:val="single" w:sz="4" w:space="0" w:color="auto"/>
              <w:right w:val="single" w:sz="4" w:space="0" w:color="auto"/>
            </w:tcBorders>
          </w:tcPr>
          <w:p w14:paraId="5335D15C" w14:textId="1B759DCD" w:rsidR="0093759B" w:rsidRDefault="0037376C" w:rsidP="0037376C">
            <w:pPr>
              <w:keepNext/>
              <w:keepLines/>
              <w:spacing w:before="40"/>
              <w:rPr>
                <w:sz w:val="20"/>
                <w:szCs w:val="20"/>
              </w:rPr>
            </w:pPr>
            <w:r>
              <w:rPr>
                <w:sz w:val="20"/>
                <w:szCs w:val="20"/>
              </w:rPr>
              <w:t>Low</w:t>
            </w:r>
          </w:p>
        </w:tc>
      </w:tr>
    </w:tbl>
    <w:p w14:paraId="30D2CDDA" w14:textId="44190D17" w:rsidR="00D16EDF" w:rsidRPr="008733DF" w:rsidRDefault="0093759B" w:rsidP="008733DF">
      <w:pPr>
        <w:keepNext/>
        <w:keepLines/>
        <w:rPr>
          <w:sz w:val="18"/>
          <w:szCs w:val="18"/>
        </w:rPr>
      </w:pPr>
      <w:r>
        <w:rPr>
          <w:sz w:val="18"/>
          <w:szCs w:val="18"/>
          <w:vertAlign w:val="superscript"/>
        </w:rPr>
        <w:t>1</w:t>
      </w:r>
      <w:r w:rsidRPr="006435AE">
        <w:rPr>
          <w:sz w:val="18"/>
          <w:szCs w:val="18"/>
          <w:vertAlign w:val="superscript"/>
        </w:rPr>
        <w:t xml:space="preserve"> </w:t>
      </w:r>
      <w:r w:rsidRPr="006435AE">
        <w:rPr>
          <w:sz w:val="18"/>
          <w:szCs w:val="18"/>
        </w:rPr>
        <w:t>Certainty of evidence was assessed using GRADE (</w:t>
      </w:r>
      <w:r w:rsidRPr="00FC30DF">
        <w:rPr>
          <w:sz w:val="18"/>
          <w:szCs w:val="18"/>
        </w:rPr>
        <w:t>GRADE Working Group</w:t>
      </w:r>
      <w:r>
        <w:rPr>
          <w:sz w:val="18"/>
          <w:szCs w:val="18"/>
        </w:rPr>
        <w:t xml:space="preserve"> (2004)).</w:t>
      </w:r>
    </w:p>
    <w:p w14:paraId="1F4B4274" w14:textId="0964A900" w:rsidR="005E59C0" w:rsidRDefault="005E59C0" w:rsidP="008733DF">
      <w:pPr>
        <w:spacing w:before="240"/>
      </w:pPr>
      <w:r>
        <w:t xml:space="preserve">There were no effects of </w:t>
      </w:r>
      <w:r w:rsidRPr="005E59C0">
        <w:t xml:space="preserve">n-3 LC-PUFA </w:t>
      </w:r>
      <w:r>
        <w:t>on child outcomes of cognition, vision, neurodevelopment, behaviour, and body mass index (all very low certainty or low certainty of evidence).</w:t>
      </w:r>
    </w:p>
    <w:p w14:paraId="7F3F788D" w14:textId="14B36A57" w:rsidR="00090731" w:rsidRDefault="00090731" w:rsidP="00090731">
      <w:pPr>
        <w:pStyle w:val="Heading2"/>
      </w:pPr>
      <w:bookmarkStart w:id="16" w:name="_Toc102573424"/>
      <w:r>
        <w:lastRenderedPageBreak/>
        <w:t>2.</w:t>
      </w:r>
      <w:r w:rsidR="00AB10C8">
        <w:t>6</w:t>
      </w:r>
      <w:r w:rsidRPr="0087155B">
        <w:tab/>
      </w:r>
      <w:r w:rsidR="00EF0330">
        <w:t>R</w:t>
      </w:r>
      <w:r w:rsidR="00EF0330" w:rsidRPr="00EF0330">
        <w:t>andomised controlled trials</w:t>
      </w:r>
      <w:r>
        <w:t xml:space="preserve"> in children</w:t>
      </w:r>
      <w:r w:rsidR="003B4820">
        <w:t xml:space="preserve"> and adolescents</w:t>
      </w:r>
      <w:bookmarkEnd w:id="16"/>
    </w:p>
    <w:p w14:paraId="254FAC84" w14:textId="01C0E096" w:rsidR="00DF550E" w:rsidRDefault="003B4820" w:rsidP="00E86C34">
      <w:pPr>
        <w:rPr>
          <w:szCs w:val="22"/>
          <w:lang w:val="en-AU"/>
        </w:rPr>
      </w:pPr>
      <w:r>
        <w:rPr>
          <w:szCs w:val="22"/>
          <w:lang w:val="en-AU"/>
        </w:rPr>
        <w:t>I</w:t>
      </w:r>
      <w:r w:rsidRPr="003B4820">
        <w:rPr>
          <w:szCs w:val="22"/>
          <w:lang w:val="en-AU"/>
        </w:rPr>
        <w:t>n children and adolescents</w:t>
      </w:r>
      <w:r>
        <w:rPr>
          <w:szCs w:val="22"/>
          <w:lang w:val="en-AU"/>
        </w:rPr>
        <w:t xml:space="preserve">, </w:t>
      </w:r>
      <w:r w:rsidRPr="003B4820">
        <w:rPr>
          <w:szCs w:val="22"/>
          <w:lang w:val="en-AU"/>
        </w:rPr>
        <w:t>n-3 LC-PUFA</w:t>
      </w:r>
      <w:r w:rsidRPr="003B4820">
        <w:t xml:space="preserve"> </w:t>
      </w:r>
      <w:r w:rsidRPr="003B4820">
        <w:rPr>
          <w:szCs w:val="22"/>
          <w:lang w:val="en-AU"/>
        </w:rPr>
        <w:t xml:space="preserve">have been investigated for their </w:t>
      </w:r>
      <w:r>
        <w:rPr>
          <w:szCs w:val="22"/>
          <w:lang w:val="en-AU"/>
        </w:rPr>
        <w:t>effects on</w:t>
      </w:r>
      <w:r w:rsidR="00AE3AD1">
        <w:rPr>
          <w:szCs w:val="22"/>
          <w:lang w:val="en-AU"/>
        </w:rPr>
        <w:t xml:space="preserve"> several</w:t>
      </w:r>
      <w:r>
        <w:rPr>
          <w:szCs w:val="22"/>
          <w:lang w:val="en-AU"/>
        </w:rPr>
        <w:t xml:space="preserve"> health </w:t>
      </w:r>
      <w:r w:rsidR="00AE3AD1">
        <w:rPr>
          <w:szCs w:val="22"/>
          <w:lang w:val="en-AU"/>
        </w:rPr>
        <w:t>conditions</w:t>
      </w:r>
      <w:r>
        <w:rPr>
          <w:szCs w:val="22"/>
          <w:lang w:val="en-AU"/>
        </w:rPr>
        <w:t xml:space="preserve"> including allergy, </w:t>
      </w:r>
      <w:r w:rsidRPr="003B4820">
        <w:rPr>
          <w:szCs w:val="22"/>
          <w:lang w:val="en-AU"/>
        </w:rPr>
        <w:t>attention deficit hyperactivity disorder</w:t>
      </w:r>
      <w:r>
        <w:rPr>
          <w:szCs w:val="22"/>
          <w:lang w:val="en-AU"/>
        </w:rPr>
        <w:t xml:space="preserve"> (ADHD), and hypertriglyceridemia.</w:t>
      </w:r>
      <w:r w:rsidR="00DF550E">
        <w:rPr>
          <w:szCs w:val="22"/>
          <w:lang w:val="en-AU"/>
        </w:rPr>
        <w:t xml:space="preserve"> The only </w:t>
      </w:r>
      <w:r w:rsidR="00F15EDD">
        <w:rPr>
          <w:szCs w:val="22"/>
          <w:lang w:val="en-AU"/>
        </w:rPr>
        <w:t>potentially treatment-related side-</w:t>
      </w:r>
      <w:r w:rsidR="00DF550E">
        <w:rPr>
          <w:szCs w:val="22"/>
          <w:lang w:val="en-AU"/>
        </w:rPr>
        <w:t xml:space="preserve">effects </w:t>
      </w:r>
      <w:r w:rsidR="0003361C">
        <w:rPr>
          <w:szCs w:val="22"/>
          <w:lang w:val="en-AU"/>
        </w:rPr>
        <w:t xml:space="preserve">that could be identified in the published literature </w:t>
      </w:r>
      <w:r w:rsidR="00DF550E">
        <w:rPr>
          <w:szCs w:val="22"/>
          <w:lang w:val="en-AU"/>
        </w:rPr>
        <w:t>w</w:t>
      </w:r>
      <w:r w:rsidR="000D01E4">
        <w:rPr>
          <w:szCs w:val="22"/>
          <w:lang w:val="en-AU"/>
        </w:rPr>
        <w:t>ere</w:t>
      </w:r>
      <w:r w:rsidR="00DF550E">
        <w:rPr>
          <w:szCs w:val="22"/>
          <w:lang w:val="en-AU"/>
        </w:rPr>
        <w:t xml:space="preserve"> from an RCT </w:t>
      </w:r>
      <w:r w:rsidR="0003361C">
        <w:rPr>
          <w:szCs w:val="22"/>
          <w:lang w:val="en-AU"/>
        </w:rPr>
        <w:t>in children (</w:t>
      </w:r>
      <w:r w:rsidR="0003361C" w:rsidRPr="0003361C">
        <w:rPr>
          <w:szCs w:val="22"/>
          <w:lang w:val="en-AU"/>
        </w:rPr>
        <w:t>10-16 years old</w:t>
      </w:r>
      <w:r w:rsidR="0003361C">
        <w:rPr>
          <w:szCs w:val="22"/>
          <w:lang w:val="en-AU"/>
        </w:rPr>
        <w:t>)</w:t>
      </w:r>
      <w:r w:rsidR="0003361C" w:rsidRPr="0003361C">
        <w:rPr>
          <w:szCs w:val="22"/>
          <w:lang w:val="en-AU"/>
        </w:rPr>
        <w:t xml:space="preserve"> </w:t>
      </w:r>
      <w:r w:rsidR="00DF550E">
        <w:rPr>
          <w:szCs w:val="22"/>
          <w:lang w:val="en-AU"/>
        </w:rPr>
        <w:t xml:space="preserve">investigating an </w:t>
      </w:r>
      <w:r w:rsidR="00DF550E" w:rsidRPr="00DF550E">
        <w:rPr>
          <w:szCs w:val="22"/>
          <w:lang w:val="en-AU"/>
        </w:rPr>
        <w:t xml:space="preserve">n-3 LC-PUFA </w:t>
      </w:r>
      <w:r w:rsidR="00DF550E">
        <w:rPr>
          <w:szCs w:val="22"/>
          <w:lang w:val="en-AU"/>
        </w:rPr>
        <w:t>dose of 3 g/day for 12 weeks.</w:t>
      </w:r>
      <w:r w:rsidR="00DF550E" w:rsidRPr="00DF550E">
        <w:rPr>
          <w:szCs w:val="22"/>
          <w:lang w:val="en-AU"/>
        </w:rPr>
        <w:t xml:space="preserve"> </w:t>
      </w:r>
      <w:r w:rsidR="0003361C">
        <w:rPr>
          <w:szCs w:val="22"/>
          <w:lang w:val="en-AU"/>
        </w:rPr>
        <w:t>A</w:t>
      </w:r>
      <w:r w:rsidR="00DF550E">
        <w:rPr>
          <w:szCs w:val="22"/>
          <w:lang w:val="en-AU"/>
        </w:rPr>
        <w:t xml:space="preserve">n increase in the incidence of flatulence and </w:t>
      </w:r>
      <w:r w:rsidR="00DF550E" w:rsidRPr="00DF550E">
        <w:rPr>
          <w:szCs w:val="22"/>
          <w:lang w:val="en-AU"/>
        </w:rPr>
        <w:t>belching</w:t>
      </w:r>
      <w:r w:rsidR="0003361C">
        <w:rPr>
          <w:szCs w:val="22"/>
          <w:lang w:val="en-AU"/>
        </w:rPr>
        <w:t xml:space="preserve"> was observed, from </w:t>
      </w:r>
      <w:r w:rsidR="00F15EDD">
        <w:rPr>
          <w:szCs w:val="22"/>
          <w:lang w:val="en-AU"/>
        </w:rPr>
        <w:t>6</w:t>
      </w:r>
      <w:r w:rsidR="00DF550E" w:rsidRPr="00DF550E">
        <w:rPr>
          <w:szCs w:val="22"/>
          <w:lang w:val="en-AU"/>
        </w:rPr>
        <w:t>% in the placebo gro</w:t>
      </w:r>
      <w:r w:rsidR="00DF550E">
        <w:rPr>
          <w:szCs w:val="22"/>
          <w:lang w:val="en-AU"/>
        </w:rPr>
        <w:t>up</w:t>
      </w:r>
      <w:r w:rsidR="0003361C">
        <w:rPr>
          <w:szCs w:val="22"/>
          <w:lang w:val="en-AU"/>
        </w:rPr>
        <w:t xml:space="preserve"> to</w:t>
      </w:r>
      <w:r w:rsidR="00F15EDD">
        <w:rPr>
          <w:szCs w:val="22"/>
          <w:lang w:val="en-AU"/>
        </w:rPr>
        <w:t xml:space="preserve"> 41</w:t>
      </w:r>
      <w:r w:rsidR="00DF550E" w:rsidRPr="00DF550E">
        <w:rPr>
          <w:szCs w:val="22"/>
          <w:lang w:val="en-AU"/>
        </w:rPr>
        <w:t xml:space="preserve">% </w:t>
      </w:r>
      <w:r w:rsidR="00DF550E">
        <w:rPr>
          <w:szCs w:val="22"/>
          <w:lang w:val="en-AU"/>
        </w:rPr>
        <w:t xml:space="preserve">in the </w:t>
      </w:r>
      <w:r w:rsidR="00DF550E" w:rsidRPr="00DF550E">
        <w:rPr>
          <w:szCs w:val="22"/>
          <w:lang w:val="en-AU"/>
        </w:rPr>
        <w:t xml:space="preserve">n-3 LC-PUFA </w:t>
      </w:r>
      <w:r w:rsidR="00DF550E">
        <w:rPr>
          <w:szCs w:val="22"/>
          <w:lang w:val="en-AU"/>
        </w:rPr>
        <w:t xml:space="preserve">group; </w:t>
      </w:r>
      <w:r w:rsidR="00DF550E" w:rsidRPr="0003361C">
        <w:rPr>
          <w:i/>
          <w:szCs w:val="22"/>
          <w:lang w:val="en-AU"/>
        </w:rPr>
        <w:t>p</w:t>
      </w:r>
      <w:r w:rsidR="00DF550E">
        <w:rPr>
          <w:szCs w:val="22"/>
          <w:lang w:val="en-AU"/>
        </w:rPr>
        <w:t xml:space="preserve"> &lt; 0.01) (</w:t>
      </w:r>
      <w:r w:rsidR="00DF550E" w:rsidRPr="00DF550E">
        <w:rPr>
          <w:szCs w:val="22"/>
          <w:lang w:val="en-AU"/>
        </w:rPr>
        <w:t>Del-Río-Navarro</w:t>
      </w:r>
      <w:r w:rsidR="00DF550E">
        <w:rPr>
          <w:szCs w:val="22"/>
          <w:lang w:val="en-AU"/>
        </w:rPr>
        <w:t xml:space="preserve"> et al. 2019).</w:t>
      </w:r>
    </w:p>
    <w:p w14:paraId="74D5EC34" w14:textId="1E4A278A" w:rsidR="00983B54" w:rsidRDefault="00983B54" w:rsidP="00983B54">
      <w:pPr>
        <w:pStyle w:val="Heading2"/>
      </w:pPr>
      <w:bookmarkStart w:id="17" w:name="_Toc102573425"/>
      <w:r>
        <w:t>2.</w:t>
      </w:r>
      <w:r w:rsidR="00AB10C8">
        <w:t>7</w:t>
      </w:r>
      <w:r w:rsidRPr="0087155B">
        <w:tab/>
      </w:r>
      <w:r>
        <w:t xml:space="preserve">Hazard assessment </w:t>
      </w:r>
      <w:r w:rsidR="00AF6D94">
        <w:t xml:space="preserve">discussion and </w:t>
      </w:r>
      <w:r>
        <w:t>conclusion</w:t>
      </w:r>
      <w:bookmarkEnd w:id="17"/>
    </w:p>
    <w:p w14:paraId="018473EF" w14:textId="3143C5FA" w:rsidR="000027A8" w:rsidRPr="008733DF" w:rsidRDefault="000F6B9A" w:rsidP="008733DF">
      <w:pPr>
        <w:spacing w:after="240"/>
        <w:rPr>
          <w:lang w:bidi="ar-SA"/>
        </w:rPr>
      </w:pPr>
      <w:r>
        <w:rPr>
          <w:lang w:bidi="ar-SA"/>
        </w:rPr>
        <w:t xml:space="preserve">Conventional canola oils do not contain quantifiable levels of </w:t>
      </w:r>
      <w:r w:rsidRPr="000F6B9A">
        <w:rPr>
          <w:lang w:bidi="ar-SA"/>
        </w:rPr>
        <w:t>EPA, DPA and DHA</w:t>
      </w:r>
      <w:r>
        <w:rPr>
          <w:lang w:bidi="ar-SA"/>
        </w:rPr>
        <w:t xml:space="preserve">. </w:t>
      </w:r>
      <w:r w:rsidR="00084ABF">
        <w:rPr>
          <w:lang w:bidi="ar-SA"/>
        </w:rPr>
        <w:t>In LBFLFK</w:t>
      </w:r>
      <w:r w:rsidR="00084ABF" w:rsidRPr="00255CDA">
        <w:rPr>
          <w:lang w:bidi="ar-SA"/>
        </w:rPr>
        <w:t xml:space="preserve"> oil</w:t>
      </w:r>
      <w:r w:rsidR="00084ABF">
        <w:rPr>
          <w:lang w:bidi="ar-SA"/>
        </w:rPr>
        <w:t>, t</w:t>
      </w:r>
      <w:r w:rsidR="000027A8">
        <w:rPr>
          <w:lang w:bidi="ar-SA"/>
        </w:rPr>
        <w:t>he sum of EPA, DPA and DHA levels, as a percentage of total FA</w:t>
      </w:r>
      <w:r w:rsidR="00084ABF">
        <w:rPr>
          <w:lang w:bidi="ar-SA"/>
        </w:rPr>
        <w:t>s, is 6.5%, while</w:t>
      </w:r>
      <w:r w:rsidR="00B94C44">
        <w:rPr>
          <w:lang w:bidi="ar-SA"/>
        </w:rPr>
        <w:t xml:space="preserve"> </w:t>
      </w:r>
      <w:r w:rsidR="00084ABF">
        <w:rPr>
          <w:lang w:bidi="ar-SA"/>
        </w:rPr>
        <w:t>levels in</w:t>
      </w:r>
      <w:r>
        <w:rPr>
          <w:lang w:bidi="ar-SA"/>
        </w:rPr>
        <w:t xml:space="preserve"> </w:t>
      </w:r>
      <w:r w:rsidR="00084ABF">
        <w:rPr>
          <w:lang w:bidi="ar-SA"/>
        </w:rPr>
        <w:t xml:space="preserve">fish oils are </w:t>
      </w:r>
      <w:r w:rsidR="000027A8">
        <w:rPr>
          <w:lang w:bidi="ar-SA"/>
        </w:rPr>
        <w:t>24 – 33%</w:t>
      </w:r>
      <w:r w:rsidR="00084ABF">
        <w:rPr>
          <w:lang w:bidi="ar-SA"/>
        </w:rPr>
        <w:t xml:space="preserve">. </w:t>
      </w:r>
      <w:r w:rsidR="00084ABF" w:rsidRPr="00084ABF">
        <w:rPr>
          <w:lang w:bidi="ar-SA"/>
        </w:rPr>
        <w:t>As for fish</w:t>
      </w:r>
      <w:r w:rsidR="00084ABF">
        <w:rPr>
          <w:lang w:bidi="ar-SA"/>
        </w:rPr>
        <w:t xml:space="preserve"> oils</w:t>
      </w:r>
      <w:r w:rsidR="00084ABF" w:rsidRPr="00084ABF">
        <w:rPr>
          <w:lang w:bidi="ar-SA"/>
        </w:rPr>
        <w:t>, FAs in canola oil are predominantly in the form of t</w:t>
      </w:r>
      <w:r w:rsidR="00084ABF">
        <w:rPr>
          <w:lang w:bidi="ar-SA"/>
        </w:rPr>
        <w:t>riglycerides</w:t>
      </w:r>
      <w:r w:rsidR="00084ABF" w:rsidRPr="00084ABF">
        <w:rPr>
          <w:lang w:bidi="ar-SA"/>
        </w:rPr>
        <w:t xml:space="preserve">, and therefore the bioavailability of EPA, DPA and DHA from triglycerides in LBFLFK oil and fish oil </w:t>
      </w:r>
      <w:r w:rsidR="00C81925">
        <w:rPr>
          <w:lang w:bidi="ar-SA"/>
        </w:rPr>
        <w:t xml:space="preserve">is </w:t>
      </w:r>
      <w:r w:rsidR="00084ABF" w:rsidRPr="00084ABF">
        <w:rPr>
          <w:lang w:bidi="ar-SA"/>
        </w:rPr>
        <w:t>expected to be similar.</w:t>
      </w:r>
    </w:p>
    <w:p w14:paraId="3D0678CB" w14:textId="272D40A3" w:rsidR="00084ABF" w:rsidRDefault="00084ABF" w:rsidP="008733DF">
      <w:pPr>
        <w:spacing w:after="240"/>
        <w:rPr>
          <w:color w:val="000000" w:themeColor="text1"/>
          <w:lang w:bidi="ar-SA"/>
        </w:rPr>
      </w:pPr>
      <w:r>
        <w:rPr>
          <w:lang w:eastAsia="en-AU" w:bidi="ar-SA"/>
        </w:rPr>
        <w:t>T</w:t>
      </w:r>
      <w:r w:rsidRPr="006B2EFB">
        <w:rPr>
          <w:lang w:eastAsia="en-AU" w:bidi="ar-SA"/>
        </w:rPr>
        <w:t xml:space="preserve">he </w:t>
      </w:r>
      <w:r>
        <w:rPr>
          <w:lang w:eastAsia="en-AU" w:bidi="ar-SA"/>
        </w:rPr>
        <w:t>Upper Level of Intake (</w:t>
      </w:r>
      <w:r w:rsidRPr="006B2EFB">
        <w:rPr>
          <w:lang w:eastAsia="en-AU" w:bidi="ar-SA"/>
        </w:rPr>
        <w:t>UL</w:t>
      </w:r>
      <w:r>
        <w:rPr>
          <w:lang w:eastAsia="en-AU" w:bidi="ar-SA"/>
        </w:rPr>
        <w:t>)</w:t>
      </w:r>
      <w:r w:rsidRPr="006B2EFB">
        <w:rPr>
          <w:lang w:eastAsia="en-AU" w:bidi="ar-SA"/>
        </w:rPr>
        <w:t xml:space="preserve"> for n-3 LC-PUFA</w:t>
      </w:r>
      <w:r>
        <w:rPr>
          <w:lang w:eastAsia="en-AU" w:bidi="ar-SA"/>
        </w:rPr>
        <w:t>,</w:t>
      </w:r>
      <w:r w:rsidRPr="006B2EFB">
        <w:rPr>
          <w:lang w:eastAsia="en-AU" w:bidi="ar-SA"/>
        </w:rPr>
        <w:t xml:space="preserve"> de</w:t>
      </w:r>
      <w:r>
        <w:rPr>
          <w:lang w:eastAsia="en-AU" w:bidi="ar-SA"/>
        </w:rPr>
        <w:t xml:space="preserve">fined as the sum of EPA, DPA and </w:t>
      </w:r>
      <w:r w:rsidRPr="006B2EFB">
        <w:rPr>
          <w:lang w:eastAsia="en-AU" w:bidi="ar-SA"/>
        </w:rPr>
        <w:t>DHA</w:t>
      </w:r>
      <w:r>
        <w:rPr>
          <w:lang w:eastAsia="en-AU" w:bidi="ar-SA"/>
        </w:rPr>
        <w:t>,</w:t>
      </w:r>
      <w:r w:rsidRPr="006B2EFB">
        <w:rPr>
          <w:lang w:eastAsia="en-AU" w:bidi="ar-SA"/>
        </w:rPr>
        <w:t xml:space="preserve"> </w:t>
      </w:r>
      <w:r>
        <w:rPr>
          <w:lang w:eastAsia="en-AU" w:bidi="ar-SA"/>
        </w:rPr>
        <w:t>is</w:t>
      </w:r>
      <w:r w:rsidRPr="006B2EFB">
        <w:rPr>
          <w:lang w:eastAsia="en-AU" w:bidi="ar-SA"/>
        </w:rPr>
        <w:t xml:space="preserve"> 3 g/day for </w:t>
      </w:r>
      <w:r>
        <w:rPr>
          <w:lang w:eastAsia="en-AU" w:bidi="ar-SA"/>
        </w:rPr>
        <w:t>children, adolescents and adults. The UL</w:t>
      </w:r>
      <w:r w:rsidRPr="00084ABF">
        <w:t xml:space="preserve"> </w:t>
      </w:r>
      <w:r>
        <w:rPr>
          <w:lang w:eastAsia="en-AU" w:bidi="ar-SA"/>
        </w:rPr>
        <w:t>was based on a US FDA</w:t>
      </w:r>
      <w:r w:rsidRPr="00084ABF">
        <w:rPr>
          <w:lang w:eastAsia="en-AU" w:bidi="ar-SA"/>
        </w:rPr>
        <w:t xml:space="preserve"> assessment</w:t>
      </w:r>
      <w:r>
        <w:rPr>
          <w:lang w:eastAsia="en-AU" w:bidi="ar-SA"/>
        </w:rPr>
        <w:t xml:space="preserve"> published in 1997. </w:t>
      </w:r>
      <w:r>
        <w:t>The assessment stated: (i)</w:t>
      </w:r>
      <w:r>
        <w:rPr>
          <w:lang w:eastAsia="en-AU" w:bidi="ar-SA"/>
        </w:rPr>
        <w:t xml:space="preserve"> </w:t>
      </w:r>
      <w:r w:rsidRPr="006B2EFB">
        <w:rPr>
          <w:lang w:eastAsia="en-AU" w:bidi="ar-SA"/>
        </w:rPr>
        <w:t xml:space="preserve">there is some evidence to suggest that high </w:t>
      </w:r>
      <w:r>
        <w:rPr>
          <w:lang w:eastAsia="en-AU" w:bidi="ar-SA"/>
        </w:rPr>
        <w:t>intake</w:t>
      </w:r>
      <w:r w:rsidRPr="006B2EFB">
        <w:rPr>
          <w:lang w:eastAsia="en-AU" w:bidi="ar-SA"/>
        </w:rPr>
        <w:t xml:space="preserve"> of these </w:t>
      </w:r>
      <w:r>
        <w:rPr>
          <w:lang w:eastAsia="en-AU" w:bidi="ar-SA"/>
        </w:rPr>
        <w:t>FA</w:t>
      </w:r>
      <w:r w:rsidRPr="006B2EFB">
        <w:rPr>
          <w:lang w:eastAsia="en-AU" w:bidi="ar-SA"/>
        </w:rPr>
        <w:t>s may impair immune response and prolong bleeding time</w:t>
      </w:r>
      <w:r>
        <w:rPr>
          <w:lang w:eastAsia="en-AU" w:bidi="ar-SA"/>
        </w:rPr>
        <w:t>;</w:t>
      </w:r>
      <w:r w:rsidRPr="006B2EFB">
        <w:rPr>
          <w:lang w:eastAsia="en-AU" w:bidi="ar-SA"/>
        </w:rPr>
        <w:t xml:space="preserve"> (i</w:t>
      </w:r>
      <w:r>
        <w:rPr>
          <w:lang w:eastAsia="en-AU" w:bidi="ar-SA"/>
        </w:rPr>
        <w:t>i</w:t>
      </w:r>
      <w:r w:rsidRPr="006B2EFB">
        <w:rPr>
          <w:lang w:eastAsia="en-AU" w:bidi="ar-SA"/>
        </w:rPr>
        <w:t xml:space="preserve">) the immune function tests were performed </w:t>
      </w:r>
      <w:r w:rsidRPr="0024031D">
        <w:rPr>
          <w:i/>
          <w:iCs/>
          <w:lang w:eastAsia="en-AU" w:bidi="ar-SA"/>
        </w:rPr>
        <w:t>in vitro</w:t>
      </w:r>
      <w:r w:rsidRPr="006B2EFB">
        <w:rPr>
          <w:lang w:eastAsia="en-AU" w:bidi="ar-SA"/>
        </w:rPr>
        <w:t xml:space="preserve"> and it is unclear how the results would translate to the </w:t>
      </w:r>
      <w:r w:rsidRPr="00B5734A">
        <w:rPr>
          <w:i/>
          <w:iCs/>
          <w:lang w:eastAsia="en-AU" w:bidi="ar-SA"/>
        </w:rPr>
        <w:t>in vivo</w:t>
      </w:r>
      <w:r w:rsidRPr="006B2EFB">
        <w:rPr>
          <w:lang w:eastAsia="en-AU" w:bidi="ar-SA"/>
        </w:rPr>
        <w:t xml:space="preserve"> situation, and (ii</w:t>
      </w:r>
      <w:r>
        <w:rPr>
          <w:lang w:eastAsia="en-AU" w:bidi="ar-SA"/>
        </w:rPr>
        <w:t>i</w:t>
      </w:r>
      <w:r w:rsidRPr="006B2EFB">
        <w:rPr>
          <w:lang w:eastAsia="en-AU" w:bidi="ar-SA"/>
        </w:rPr>
        <w:t xml:space="preserve">) prolonged bleeding times have been seen in the Inuit, but it is not known if they were caused by high </w:t>
      </w:r>
      <w:r>
        <w:rPr>
          <w:lang w:eastAsia="en-AU" w:bidi="ar-SA"/>
        </w:rPr>
        <w:t xml:space="preserve">intake </w:t>
      </w:r>
      <w:r w:rsidRPr="006B2EFB">
        <w:rPr>
          <w:lang w:eastAsia="en-AU" w:bidi="ar-SA"/>
        </w:rPr>
        <w:t>of n-3 LC-PUFA</w:t>
      </w:r>
      <w:r>
        <w:rPr>
          <w:lang w:eastAsia="en-AU" w:bidi="ar-SA"/>
        </w:rPr>
        <w:t>.</w:t>
      </w:r>
    </w:p>
    <w:p w14:paraId="76D45E44" w14:textId="44C6D2F3" w:rsidR="008C1A15" w:rsidRDefault="00084ABF" w:rsidP="008733DF">
      <w:pPr>
        <w:spacing w:after="240"/>
        <w:rPr>
          <w:color w:val="000000" w:themeColor="text1"/>
          <w:lang w:bidi="ar-SA"/>
        </w:rPr>
      </w:pPr>
      <w:r>
        <w:rPr>
          <w:color w:val="000000" w:themeColor="text1"/>
          <w:lang w:bidi="ar-SA"/>
        </w:rPr>
        <w:t xml:space="preserve">A large number of human trials of </w:t>
      </w:r>
      <w:r w:rsidRPr="00084ABF">
        <w:rPr>
          <w:color w:val="000000" w:themeColor="text1"/>
          <w:lang w:bidi="ar-SA"/>
        </w:rPr>
        <w:t xml:space="preserve">n-3 LC-PUFA </w:t>
      </w:r>
      <w:r>
        <w:rPr>
          <w:color w:val="000000" w:themeColor="text1"/>
          <w:lang w:bidi="ar-SA"/>
        </w:rPr>
        <w:t xml:space="preserve">have been conducted since the UL was established. </w:t>
      </w:r>
      <w:r w:rsidR="004759FA">
        <w:rPr>
          <w:color w:val="000000" w:themeColor="text1"/>
          <w:lang w:bidi="ar-SA"/>
        </w:rPr>
        <w:t xml:space="preserve">In </w:t>
      </w:r>
      <w:r w:rsidR="00D52A74">
        <w:rPr>
          <w:color w:val="000000" w:themeColor="text1"/>
          <w:lang w:bidi="ar-SA"/>
        </w:rPr>
        <w:t xml:space="preserve">non-pregnant </w:t>
      </w:r>
      <w:r w:rsidR="004759FA">
        <w:rPr>
          <w:color w:val="000000" w:themeColor="text1"/>
          <w:lang w:bidi="ar-SA"/>
        </w:rPr>
        <w:t xml:space="preserve">adults, </w:t>
      </w:r>
      <w:r w:rsidR="00D52A74">
        <w:rPr>
          <w:color w:val="000000" w:themeColor="text1"/>
          <w:lang w:bidi="ar-SA"/>
        </w:rPr>
        <w:t xml:space="preserve">evidence from </w:t>
      </w:r>
      <w:r>
        <w:rPr>
          <w:color w:val="000000" w:themeColor="text1"/>
          <w:lang w:bidi="ar-SA"/>
        </w:rPr>
        <w:t xml:space="preserve">randomised, controlled trials </w:t>
      </w:r>
      <w:r w:rsidR="00403CF1">
        <w:rPr>
          <w:color w:val="000000" w:themeColor="text1"/>
          <w:lang w:bidi="ar-SA"/>
        </w:rPr>
        <w:t xml:space="preserve">(RCTs) </w:t>
      </w:r>
      <w:r w:rsidR="00D52A74">
        <w:rPr>
          <w:color w:val="000000" w:themeColor="text1"/>
          <w:lang w:bidi="ar-SA"/>
        </w:rPr>
        <w:t xml:space="preserve">indicates </w:t>
      </w:r>
      <w:r w:rsidR="004759FA">
        <w:rPr>
          <w:color w:val="000000" w:themeColor="text1"/>
          <w:lang w:bidi="ar-SA"/>
        </w:rPr>
        <w:t xml:space="preserve">that high intakes of </w:t>
      </w:r>
      <w:r w:rsidR="004759FA" w:rsidRPr="004759FA">
        <w:rPr>
          <w:color w:val="000000" w:themeColor="text1"/>
          <w:lang w:bidi="ar-SA"/>
        </w:rPr>
        <w:t>n-3 LC-PUFA</w:t>
      </w:r>
      <w:r w:rsidR="004759FA">
        <w:rPr>
          <w:color w:val="000000" w:themeColor="text1"/>
          <w:lang w:bidi="ar-SA"/>
        </w:rPr>
        <w:t xml:space="preserve"> (up to 5 g/day) over long durations (up to 88</w:t>
      </w:r>
      <w:r w:rsidR="00403CF1">
        <w:rPr>
          <w:color w:val="000000" w:themeColor="text1"/>
          <w:lang w:bidi="ar-SA"/>
        </w:rPr>
        <w:t> </w:t>
      </w:r>
      <w:r w:rsidR="004759FA">
        <w:rPr>
          <w:color w:val="000000" w:themeColor="text1"/>
          <w:lang w:bidi="ar-SA"/>
        </w:rPr>
        <w:t>months)</w:t>
      </w:r>
      <w:r w:rsidR="00D52A74">
        <w:rPr>
          <w:color w:val="000000" w:themeColor="text1"/>
          <w:lang w:bidi="ar-SA"/>
        </w:rPr>
        <w:t xml:space="preserve"> are not associated w</w:t>
      </w:r>
      <w:r w:rsidR="004B0630">
        <w:rPr>
          <w:color w:val="000000" w:themeColor="text1"/>
          <w:lang w:bidi="ar-SA"/>
        </w:rPr>
        <w:t>i</w:t>
      </w:r>
      <w:r w:rsidR="00D52A74">
        <w:rPr>
          <w:color w:val="000000" w:themeColor="text1"/>
          <w:lang w:bidi="ar-SA"/>
        </w:rPr>
        <w:t xml:space="preserve">th clear adverse effects. </w:t>
      </w:r>
      <w:r w:rsidR="001662DB">
        <w:rPr>
          <w:color w:val="000000" w:themeColor="text1"/>
          <w:lang w:bidi="ar-SA"/>
        </w:rPr>
        <w:t>During pregnancy, from an analysis of 70 RCTs,</w:t>
      </w:r>
      <w:r w:rsidR="001662DB" w:rsidRPr="00D52A74">
        <w:rPr>
          <w:color w:val="000000" w:themeColor="text1"/>
          <w:lang w:bidi="ar-SA"/>
        </w:rPr>
        <w:t xml:space="preserve"> </w:t>
      </w:r>
      <w:r w:rsidR="00D52A74" w:rsidRPr="00D52A74">
        <w:rPr>
          <w:color w:val="000000" w:themeColor="text1"/>
          <w:lang w:bidi="ar-SA"/>
        </w:rPr>
        <w:t xml:space="preserve">n-3 LC-PUFA </w:t>
      </w:r>
      <w:r w:rsidR="00D52A74">
        <w:rPr>
          <w:color w:val="000000" w:themeColor="text1"/>
          <w:lang w:bidi="ar-SA"/>
        </w:rPr>
        <w:t xml:space="preserve">intake </w:t>
      </w:r>
      <w:r w:rsidR="001662DB">
        <w:rPr>
          <w:color w:val="000000" w:themeColor="text1"/>
          <w:lang w:bidi="ar-SA"/>
        </w:rPr>
        <w:t>of up to 3 g/day</w:t>
      </w:r>
      <w:r w:rsidR="00D52A74" w:rsidRPr="00D52A74">
        <w:rPr>
          <w:color w:val="000000" w:themeColor="text1"/>
          <w:lang w:bidi="ar-SA"/>
        </w:rPr>
        <w:t xml:space="preserve"> </w:t>
      </w:r>
      <w:r w:rsidR="00D52A74">
        <w:rPr>
          <w:color w:val="000000" w:themeColor="text1"/>
          <w:lang w:bidi="ar-SA"/>
        </w:rPr>
        <w:t>was also not associated with adverse effects.</w:t>
      </w:r>
      <w:r w:rsidR="001662DB">
        <w:rPr>
          <w:color w:val="000000" w:themeColor="text1"/>
          <w:lang w:bidi="ar-SA"/>
        </w:rPr>
        <w:t xml:space="preserve"> In children and adolescents, </w:t>
      </w:r>
      <w:r w:rsidR="00201B38">
        <w:rPr>
          <w:color w:val="000000" w:themeColor="text1"/>
          <w:lang w:bidi="ar-SA"/>
        </w:rPr>
        <w:t xml:space="preserve">an increase in the incidence of </w:t>
      </w:r>
      <w:r w:rsidR="001662DB" w:rsidRPr="001662DB">
        <w:rPr>
          <w:color w:val="000000" w:themeColor="text1"/>
          <w:lang w:bidi="ar-SA"/>
        </w:rPr>
        <w:t xml:space="preserve">flatulence and belching </w:t>
      </w:r>
      <w:r w:rsidR="008C1A15">
        <w:rPr>
          <w:color w:val="000000" w:themeColor="text1"/>
          <w:lang w:bidi="ar-SA"/>
        </w:rPr>
        <w:t>has</w:t>
      </w:r>
      <w:r w:rsidR="001662DB">
        <w:rPr>
          <w:color w:val="000000" w:themeColor="text1"/>
          <w:lang w:bidi="ar-SA"/>
        </w:rPr>
        <w:t xml:space="preserve"> been reported </w:t>
      </w:r>
      <w:r w:rsidR="008C1A15">
        <w:rPr>
          <w:color w:val="000000" w:themeColor="text1"/>
          <w:lang w:bidi="ar-SA"/>
        </w:rPr>
        <w:t xml:space="preserve">in one study </w:t>
      </w:r>
      <w:r w:rsidR="001662DB">
        <w:rPr>
          <w:color w:val="000000" w:themeColor="text1"/>
          <w:lang w:bidi="ar-SA"/>
        </w:rPr>
        <w:t xml:space="preserve">at an </w:t>
      </w:r>
      <w:r w:rsidR="001662DB" w:rsidRPr="001662DB">
        <w:rPr>
          <w:color w:val="000000" w:themeColor="text1"/>
          <w:lang w:bidi="ar-SA"/>
        </w:rPr>
        <w:t>n-3 LC-PUFA</w:t>
      </w:r>
      <w:r w:rsidR="001662DB">
        <w:rPr>
          <w:color w:val="000000" w:themeColor="text1"/>
          <w:lang w:bidi="ar-SA"/>
        </w:rPr>
        <w:t xml:space="preserve"> dose of 3 </w:t>
      </w:r>
      <w:r w:rsidR="00201B38">
        <w:rPr>
          <w:color w:val="000000" w:themeColor="text1"/>
          <w:lang w:bidi="ar-SA"/>
        </w:rPr>
        <w:t xml:space="preserve">g/day, </w:t>
      </w:r>
      <w:r w:rsidR="008024E6">
        <w:rPr>
          <w:color w:val="000000" w:themeColor="text1"/>
          <w:lang w:bidi="ar-SA"/>
        </w:rPr>
        <w:t xml:space="preserve">but </w:t>
      </w:r>
      <w:r w:rsidR="00201B38">
        <w:rPr>
          <w:color w:val="000000" w:themeColor="text1"/>
          <w:lang w:bidi="ar-SA"/>
        </w:rPr>
        <w:t>no clearly treatment-related adverse effects are evident in the published literature.</w:t>
      </w:r>
    </w:p>
    <w:p w14:paraId="73CF5854" w14:textId="77777777" w:rsidR="008733DF" w:rsidRDefault="008C1A15" w:rsidP="008733DF">
      <w:pPr>
        <w:widowControl/>
        <w:spacing w:after="240"/>
        <w:rPr>
          <w:color w:val="000000" w:themeColor="text1"/>
          <w:lang w:bidi="ar-SA"/>
        </w:rPr>
      </w:pPr>
      <w:r>
        <w:rPr>
          <w:color w:val="000000" w:themeColor="text1"/>
          <w:lang w:bidi="ar-SA"/>
        </w:rPr>
        <w:t>It is concluded that the</w:t>
      </w:r>
      <w:r w:rsidR="00B94C44">
        <w:rPr>
          <w:color w:val="000000" w:themeColor="text1"/>
          <w:lang w:bidi="ar-SA"/>
        </w:rPr>
        <w:t xml:space="preserve"> UL for </w:t>
      </w:r>
      <w:r w:rsidRPr="008C1A15">
        <w:rPr>
          <w:color w:val="000000" w:themeColor="text1"/>
          <w:lang w:bidi="ar-SA"/>
        </w:rPr>
        <w:t xml:space="preserve">n-3 LC-PUFA </w:t>
      </w:r>
      <w:r>
        <w:rPr>
          <w:color w:val="000000" w:themeColor="text1"/>
          <w:lang w:bidi="ar-SA"/>
        </w:rPr>
        <w:t xml:space="preserve">of </w:t>
      </w:r>
      <w:r w:rsidRPr="008C1A15">
        <w:rPr>
          <w:color w:val="000000" w:themeColor="text1"/>
          <w:lang w:bidi="ar-SA"/>
        </w:rPr>
        <w:t>3 g/day</w:t>
      </w:r>
      <w:r>
        <w:rPr>
          <w:color w:val="000000" w:themeColor="text1"/>
          <w:lang w:bidi="ar-SA"/>
        </w:rPr>
        <w:t xml:space="preserve"> is sufficiently healt</w:t>
      </w:r>
      <w:r w:rsidR="00E51F06">
        <w:rPr>
          <w:color w:val="000000" w:themeColor="text1"/>
          <w:lang w:bidi="ar-SA"/>
        </w:rPr>
        <w:t>h</w:t>
      </w:r>
      <w:r>
        <w:rPr>
          <w:color w:val="000000" w:themeColor="text1"/>
          <w:lang w:bidi="ar-SA"/>
        </w:rPr>
        <w:t xml:space="preserve"> protective and appropriate for use in risk </w:t>
      </w:r>
      <w:r w:rsidR="00B92A2F">
        <w:rPr>
          <w:color w:val="000000" w:themeColor="text1"/>
          <w:lang w:bidi="ar-SA"/>
        </w:rPr>
        <w:t>characterisation</w:t>
      </w:r>
      <w:r>
        <w:rPr>
          <w:color w:val="000000" w:themeColor="text1"/>
          <w:lang w:bidi="ar-SA"/>
        </w:rPr>
        <w:t>.</w:t>
      </w:r>
    </w:p>
    <w:p w14:paraId="65EF14F5" w14:textId="159798D8" w:rsidR="005D5D89" w:rsidRPr="009338A4" w:rsidRDefault="005D5D89" w:rsidP="008733DF">
      <w:pPr>
        <w:widowControl/>
        <w:spacing w:after="240"/>
        <w:rPr>
          <w:lang w:bidi="ar-SA"/>
        </w:rPr>
      </w:pPr>
      <w:r>
        <w:rPr>
          <w:color w:val="FF0000"/>
          <w:lang w:bidi="ar-SA"/>
        </w:rPr>
        <w:br w:type="page"/>
      </w:r>
    </w:p>
    <w:p w14:paraId="4EA681A9" w14:textId="0A16B8A4" w:rsidR="00786369" w:rsidRDefault="00786369" w:rsidP="00786369">
      <w:pPr>
        <w:pStyle w:val="Heading1"/>
      </w:pPr>
      <w:bookmarkStart w:id="18" w:name="_Toc102573426"/>
      <w:r>
        <w:lastRenderedPageBreak/>
        <w:t>3</w:t>
      </w:r>
      <w:r w:rsidRPr="00CB626D">
        <w:t xml:space="preserve"> </w:t>
      </w:r>
      <w:r w:rsidRPr="00CB626D">
        <w:tab/>
      </w:r>
      <w:r>
        <w:t>Dietary intake assessment</w:t>
      </w:r>
      <w:bookmarkEnd w:id="18"/>
    </w:p>
    <w:p w14:paraId="75879402" w14:textId="29074BE4" w:rsidR="00AF6513" w:rsidRDefault="00A145CE" w:rsidP="008733DF">
      <w:pPr>
        <w:spacing w:after="240"/>
      </w:pPr>
      <w:r w:rsidRPr="00633236">
        <w:t xml:space="preserve">The purpose of this assessment </w:t>
      </w:r>
      <w:r w:rsidR="009338A4">
        <w:t>was</w:t>
      </w:r>
      <w:r w:rsidRPr="00633236">
        <w:t xml:space="preserve"> to estimate </w:t>
      </w:r>
      <w:r w:rsidRPr="00633236">
        <w:rPr>
          <w:lang w:bidi="ar-SA"/>
        </w:rPr>
        <w:t xml:space="preserve">dietary intakes </w:t>
      </w:r>
      <w:r>
        <w:rPr>
          <w:lang w:bidi="ar-SA"/>
        </w:rPr>
        <w:t>of</w:t>
      </w:r>
      <w:r w:rsidRPr="00633236">
        <w:rPr>
          <w:lang w:bidi="ar-SA"/>
        </w:rPr>
        <w:t xml:space="preserve"> n</w:t>
      </w:r>
      <w:r w:rsidRPr="00633236">
        <w:rPr>
          <w:lang w:bidi="ar-SA"/>
        </w:rPr>
        <w:noBreakHyphen/>
        <w:t>3 LC-PUFA (sum of DHA+EPA+DPA)</w:t>
      </w:r>
      <w:r>
        <w:rPr>
          <w:lang w:bidi="ar-SA"/>
        </w:rPr>
        <w:t xml:space="preserve"> both currently </w:t>
      </w:r>
      <w:r w:rsidR="009338A4">
        <w:rPr>
          <w:lang w:bidi="ar-SA"/>
        </w:rPr>
        <w:t xml:space="preserve">(baseline) </w:t>
      </w:r>
      <w:r>
        <w:rPr>
          <w:lang w:bidi="ar-SA"/>
        </w:rPr>
        <w:t xml:space="preserve">and after the introduction of </w:t>
      </w:r>
      <w:r w:rsidR="002F36D0">
        <w:rPr>
          <w:lang w:bidi="ar-SA"/>
        </w:rPr>
        <w:t>LBFLFK</w:t>
      </w:r>
      <w:r>
        <w:rPr>
          <w:lang w:bidi="ar-SA"/>
        </w:rPr>
        <w:t xml:space="preserve"> oil (refined, bleached and deodorised)</w:t>
      </w:r>
      <w:r w:rsidRPr="00633236">
        <w:rPr>
          <w:lang w:bidi="ar-SA"/>
        </w:rPr>
        <w:t xml:space="preserve">. </w:t>
      </w:r>
      <w:r w:rsidRPr="00572DCD">
        <w:rPr>
          <w:lang w:bidi="ar-SA"/>
        </w:rPr>
        <w:t xml:space="preserve">The assessment focusses on estimated intakes of n-3 LC-PUFA rather than </w:t>
      </w:r>
      <w:r>
        <w:rPr>
          <w:lang w:bidi="ar-SA"/>
        </w:rPr>
        <w:t xml:space="preserve">individual </w:t>
      </w:r>
      <w:r w:rsidR="00F906AA">
        <w:rPr>
          <w:lang w:bidi="ar-SA"/>
        </w:rPr>
        <w:t>FA</w:t>
      </w:r>
      <w:r>
        <w:rPr>
          <w:lang w:bidi="ar-SA"/>
        </w:rPr>
        <w:t>s</w:t>
      </w:r>
      <w:r w:rsidRPr="00572DCD">
        <w:rPr>
          <w:lang w:bidi="ar-SA"/>
        </w:rPr>
        <w:t xml:space="preserve"> as there are nutrient reference values established for n-3 LC-PUFA </w:t>
      </w:r>
      <w:r>
        <w:rPr>
          <w:lang w:bidi="ar-SA"/>
        </w:rPr>
        <w:t>but</w:t>
      </w:r>
      <w:r w:rsidRPr="00572DCD">
        <w:rPr>
          <w:lang w:bidi="ar-SA"/>
        </w:rPr>
        <w:t xml:space="preserve"> none specifically for </w:t>
      </w:r>
      <w:r>
        <w:rPr>
          <w:lang w:bidi="ar-SA"/>
        </w:rPr>
        <w:t xml:space="preserve">EPA, DPA or </w:t>
      </w:r>
      <w:r w:rsidRPr="00572DCD">
        <w:rPr>
          <w:lang w:bidi="ar-SA"/>
        </w:rPr>
        <w:t>DHA</w:t>
      </w:r>
      <w:r>
        <w:rPr>
          <w:lang w:bidi="ar-SA"/>
        </w:rPr>
        <w:t xml:space="preserve"> individually</w:t>
      </w:r>
      <w:r w:rsidRPr="00572DCD">
        <w:rPr>
          <w:lang w:bidi="ar-SA"/>
        </w:rPr>
        <w:t>.</w:t>
      </w:r>
      <w:r>
        <w:rPr>
          <w:lang w:bidi="ar-SA"/>
        </w:rPr>
        <w:t xml:space="preserve"> Adequate Intake levels have</w:t>
      </w:r>
      <w:r w:rsidR="00CF35F1">
        <w:rPr>
          <w:lang w:bidi="ar-SA"/>
        </w:rPr>
        <w:t xml:space="preserve"> been</w:t>
      </w:r>
      <w:r>
        <w:rPr>
          <w:lang w:bidi="ar-SA"/>
        </w:rPr>
        <w:t xml:space="preserve"> established for linoleic and alpha linoleic acid, however no Upper Level</w:t>
      </w:r>
      <w:r w:rsidR="009338A4">
        <w:rPr>
          <w:lang w:bidi="ar-SA"/>
        </w:rPr>
        <w:t>s</w:t>
      </w:r>
      <w:r>
        <w:rPr>
          <w:lang w:bidi="ar-SA"/>
        </w:rPr>
        <w:t xml:space="preserve"> of Intake (UL) have been set for these </w:t>
      </w:r>
      <w:r w:rsidR="00F906AA">
        <w:rPr>
          <w:lang w:bidi="ar-SA"/>
        </w:rPr>
        <w:t>FA</w:t>
      </w:r>
      <w:r>
        <w:rPr>
          <w:lang w:bidi="ar-SA"/>
        </w:rPr>
        <w:t>s because there is no known level at which adverse e</w:t>
      </w:r>
      <w:r w:rsidR="005D13A9">
        <w:rPr>
          <w:lang w:bidi="ar-SA"/>
        </w:rPr>
        <w:t>ffects may occur (NHMRC and MoH</w:t>
      </w:r>
      <w:r>
        <w:rPr>
          <w:lang w:bidi="ar-SA"/>
        </w:rPr>
        <w:t xml:space="preserve"> 2006). </w:t>
      </w:r>
    </w:p>
    <w:p w14:paraId="34347000" w14:textId="5579E760" w:rsidR="00A145CE" w:rsidRDefault="00A145CE" w:rsidP="008733DF">
      <w:pPr>
        <w:spacing w:after="240"/>
      </w:pPr>
      <w:r>
        <w:t xml:space="preserve">The presence of </w:t>
      </w:r>
      <w:r w:rsidRPr="0044068D">
        <w:rPr>
          <w:i/>
        </w:rPr>
        <w:t>trans</w:t>
      </w:r>
      <w:r>
        <w:t xml:space="preserve"> </w:t>
      </w:r>
      <w:r w:rsidR="005A4D44">
        <w:t>fatty acids (TFA)</w:t>
      </w:r>
      <w:r>
        <w:t xml:space="preserve"> in</w:t>
      </w:r>
      <w:r w:rsidR="00787B32" w:rsidRPr="00787B32">
        <w:t xml:space="preserve"> </w:t>
      </w:r>
      <w:r w:rsidR="00787B32">
        <w:t>refined</w:t>
      </w:r>
      <w:r>
        <w:t xml:space="preserve"> LFBLFK </w:t>
      </w:r>
      <w:r w:rsidR="00787B32">
        <w:t xml:space="preserve">canola </w:t>
      </w:r>
      <w:r>
        <w:t>oil is comparable to</w:t>
      </w:r>
      <w:r w:rsidR="00787B32" w:rsidRPr="00787B32">
        <w:t xml:space="preserve"> </w:t>
      </w:r>
      <w:r w:rsidR="00787B32">
        <w:t>refined conventional canola oil</w:t>
      </w:r>
      <w:r>
        <w:t xml:space="preserve">. As a proportion of total energy, Australian and New Zealand mean intakes of </w:t>
      </w:r>
      <w:r w:rsidR="005A4D44">
        <w:t>TFA</w:t>
      </w:r>
      <w:r>
        <w:t xml:space="preserve"> (0.6% and 0.7%</w:t>
      </w:r>
      <w:r w:rsidR="009338A4">
        <w:t xml:space="preserve"> of energy</w:t>
      </w:r>
      <w:r>
        <w:t>) (</w:t>
      </w:r>
      <w:r w:rsidRPr="00D90F7C">
        <w:t xml:space="preserve">Reuss </w:t>
      </w:r>
      <w:r w:rsidR="00D90F7C">
        <w:t>et</w:t>
      </w:r>
      <w:r w:rsidRPr="00D90F7C">
        <w:t xml:space="preserve"> al</w:t>
      </w:r>
      <w:r w:rsidR="00D90F7C">
        <w:t>.</w:t>
      </w:r>
      <w:r w:rsidRPr="00D90F7C">
        <w:t xml:space="preserve"> 2009</w:t>
      </w:r>
      <w:r>
        <w:t xml:space="preserve">) are below the WHO target of less than 1% total energy derived from </w:t>
      </w:r>
      <w:r w:rsidR="005A4D44" w:rsidRPr="005A4D44">
        <w:t>TFA</w:t>
      </w:r>
      <w:r w:rsidR="00D90F7C">
        <w:t xml:space="preserve"> (WHO</w:t>
      </w:r>
      <w:r>
        <w:t xml:space="preserve"> 2018). Furthermore, it has been shown that around 60% to 75% of </w:t>
      </w:r>
      <w:r w:rsidR="005A4D44">
        <w:t>TFA</w:t>
      </w:r>
      <w:r>
        <w:t xml:space="preserve"> intake in the Australian and New Zealand diet is contr</w:t>
      </w:r>
      <w:r w:rsidR="00D90F7C">
        <w:t>ibuted by ruminant foods (FSANZ</w:t>
      </w:r>
      <w:r>
        <w:t xml:space="preserve"> 2009</w:t>
      </w:r>
      <w:r w:rsidR="00E2130F">
        <w:t>a</w:t>
      </w:r>
      <w:r>
        <w:t xml:space="preserve">). Hence, the </w:t>
      </w:r>
      <w:r w:rsidR="005A4D44">
        <w:t>TFA</w:t>
      </w:r>
      <w:r>
        <w:t xml:space="preserve"> in canola</w:t>
      </w:r>
      <w:r w:rsidR="00CF35F1">
        <w:t xml:space="preserve"> line LFBLFK</w:t>
      </w:r>
      <w:r>
        <w:t xml:space="preserve"> has not been considered for this dietary intake assessment.</w:t>
      </w:r>
    </w:p>
    <w:p w14:paraId="5AB98D82" w14:textId="77777777" w:rsidR="00A145CE" w:rsidRPr="00633236" w:rsidRDefault="00A145CE" w:rsidP="00A145CE">
      <w:pPr>
        <w:pStyle w:val="Heading2"/>
        <w:numPr>
          <w:ilvl w:val="1"/>
          <w:numId w:val="6"/>
        </w:numPr>
        <w:spacing w:before="120" w:after="120"/>
        <w:ind w:left="851" w:hanging="851"/>
      </w:pPr>
      <w:bookmarkStart w:id="19" w:name="_Toc497901447"/>
      <w:bookmarkStart w:id="20" w:name="_Toc102573427"/>
      <w:r w:rsidRPr="00633236">
        <w:t>Approach</w:t>
      </w:r>
      <w:bookmarkEnd w:id="19"/>
      <w:bookmarkEnd w:id="20"/>
    </w:p>
    <w:p w14:paraId="3F7A0E2A" w14:textId="26F4D786" w:rsidR="00AF6513" w:rsidRPr="002932DC" w:rsidRDefault="00A145CE" w:rsidP="008733DF">
      <w:pPr>
        <w:widowControl/>
        <w:spacing w:after="240"/>
      </w:pPr>
      <w:r>
        <w:t xml:space="preserve">Dietary intake assessments require data on the concentration of the chemical of interest in the food requested and consumption data for the foods that have been collected through a national nutrition survey. The dietary intake assessment was undertaken using FSANZ’s dietary modelling computer program </w:t>
      </w:r>
      <w:hyperlink r:id="rId17" w:history="1">
        <w:r>
          <w:rPr>
            <w:rStyle w:val="Hyperlink"/>
            <w:rFonts w:eastAsiaTheme="majorEastAsia"/>
          </w:rPr>
          <w:t>Harvest</w:t>
        </w:r>
      </w:hyperlink>
      <w:r>
        <w:rPr>
          <w:rStyle w:val="FootnoteReference"/>
        </w:rPr>
        <w:footnoteReference w:id="3"/>
      </w:r>
      <w:r w:rsidR="009338A4" w:rsidRPr="00514EF6">
        <w:rPr>
          <w:rStyle w:val="Hyperlink"/>
          <w:rFonts w:eastAsiaTheme="majorEastAsia"/>
          <w:color w:val="auto"/>
          <w:u w:val="none"/>
        </w:rPr>
        <w:t>,</w:t>
      </w:r>
      <w:r w:rsidR="00EB05A0" w:rsidRPr="00514EF6">
        <w:rPr>
          <w:rStyle w:val="Hyperlink"/>
          <w:rFonts w:eastAsiaTheme="majorEastAsia"/>
          <w:color w:val="auto"/>
          <w:u w:val="none"/>
        </w:rPr>
        <w:t xml:space="preserve"> </w:t>
      </w:r>
      <w:r w:rsidR="009338A4" w:rsidRPr="002932DC">
        <w:rPr>
          <w:rFonts w:eastAsiaTheme="majorEastAsia"/>
        </w:rPr>
        <w:t>using deterministic calculations and using published usual nutrient intake data</w:t>
      </w:r>
      <w:r>
        <w:t xml:space="preserve">. </w:t>
      </w:r>
    </w:p>
    <w:p w14:paraId="3228C653" w14:textId="593FE266" w:rsidR="00A145CE" w:rsidRDefault="00A145CE" w:rsidP="008733DF">
      <w:pPr>
        <w:spacing w:after="240"/>
      </w:pPr>
      <w:r>
        <w:t>A summary of the general FSANZ approach to conducting dietary intake assessment</w:t>
      </w:r>
      <w:r w:rsidR="009338A4">
        <w:t>s</w:t>
      </w:r>
      <w:r>
        <w:t xml:space="preserve"> for application</w:t>
      </w:r>
      <w:r w:rsidR="009338A4">
        <w:t>s</w:t>
      </w:r>
      <w:r>
        <w:t xml:space="preserve"> is on the </w:t>
      </w:r>
      <w:hyperlink r:id="rId18" w:history="1">
        <w:r>
          <w:rPr>
            <w:rStyle w:val="Hyperlink"/>
            <w:rFonts w:eastAsiaTheme="majorEastAsia"/>
          </w:rPr>
          <w:t>FSANZ website</w:t>
        </w:r>
      </w:hyperlink>
      <w:r>
        <w:t xml:space="preserve">. A detailed discussion of the </w:t>
      </w:r>
      <w:r w:rsidRPr="00633236">
        <w:t xml:space="preserve">FSANZ methodology and approach to conducting dietary intake assessments is set out in </w:t>
      </w:r>
      <w:r w:rsidRPr="00633236">
        <w:rPr>
          <w:i/>
        </w:rPr>
        <w:t>Principles and Practices of Dietary Exposure Assessment for Food Regulatory Purposes</w:t>
      </w:r>
      <w:r>
        <w:rPr>
          <w:i/>
        </w:rPr>
        <w:t xml:space="preserve"> </w:t>
      </w:r>
      <w:r w:rsidRPr="002E5D80">
        <w:t>(FSANZ 2009</w:t>
      </w:r>
      <w:r w:rsidR="002A3F8C">
        <w:t>b</w:t>
      </w:r>
      <w:r w:rsidRPr="002E5D80">
        <w:t>).</w:t>
      </w:r>
    </w:p>
    <w:p w14:paraId="614D3EBC" w14:textId="789F9BC6" w:rsidR="00A145CE" w:rsidRDefault="00756F8D" w:rsidP="00756F8D">
      <w:pPr>
        <w:pStyle w:val="Heading2"/>
      </w:pPr>
      <w:bookmarkStart w:id="21" w:name="_Toc102573428"/>
      <w:r>
        <w:t>3.2</w:t>
      </w:r>
      <w:r>
        <w:tab/>
      </w:r>
      <w:r>
        <w:tab/>
      </w:r>
      <w:r w:rsidR="00A145CE">
        <w:t>Dietary intake assessment methodology</w:t>
      </w:r>
      <w:bookmarkEnd w:id="21"/>
    </w:p>
    <w:p w14:paraId="6B6C914E" w14:textId="16B9B874" w:rsidR="00A145CE" w:rsidRPr="00633236" w:rsidRDefault="00A145CE" w:rsidP="00A145CE">
      <w:pPr>
        <w:rPr>
          <w:lang w:bidi="ar-SA"/>
        </w:rPr>
      </w:pPr>
      <w:r w:rsidRPr="00633236">
        <w:rPr>
          <w:lang w:bidi="ar-SA"/>
        </w:rPr>
        <w:t>To estimate the potential changes in n</w:t>
      </w:r>
      <w:r w:rsidRPr="00633236">
        <w:rPr>
          <w:lang w:bidi="ar-SA"/>
        </w:rPr>
        <w:noBreakHyphen/>
        <w:t>3 LC</w:t>
      </w:r>
      <w:r w:rsidRPr="00633236">
        <w:rPr>
          <w:lang w:bidi="ar-SA"/>
        </w:rPr>
        <w:noBreakHyphen/>
        <w:t xml:space="preserve">PUFA intake in Australia and New Zealand from the introduction of </w:t>
      </w:r>
      <w:r w:rsidR="002F36D0">
        <w:rPr>
          <w:lang w:bidi="ar-SA"/>
        </w:rPr>
        <w:t xml:space="preserve">canola line </w:t>
      </w:r>
      <w:r>
        <w:rPr>
          <w:lang w:bidi="ar-SA"/>
        </w:rPr>
        <w:t>LBFLFK</w:t>
      </w:r>
      <w:r w:rsidRPr="00633236">
        <w:rPr>
          <w:lang w:bidi="ar-SA"/>
        </w:rPr>
        <w:t>, FSANZ added the n</w:t>
      </w:r>
      <w:r w:rsidRPr="00633236">
        <w:rPr>
          <w:lang w:bidi="ar-SA"/>
        </w:rPr>
        <w:noBreakHyphen/>
        <w:t>3 LC</w:t>
      </w:r>
      <w:r w:rsidRPr="00633236">
        <w:rPr>
          <w:lang w:bidi="ar-SA"/>
        </w:rPr>
        <w:noBreakHyphen/>
        <w:t xml:space="preserve">PUFA that may enter the food supply from the </w:t>
      </w:r>
      <w:r w:rsidR="002F36D0">
        <w:rPr>
          <w:lang w:bidi="ar-SA"/>
        </w:rPr>
        <w:t>LBFLFK</w:t>
      </w:r>
      <w:r>
        <w:rPr>
          <w:lang w:bidi="ar-SA"/>
        </w:rPr>
        <w:t xml:space="preserve"> </w:t>
      </w:r>
      <w:r w:rsidRPr="00633236">
        <w:rPr>
          <w:lang w:bidi="ar-SA"/>
        </w:rPr>
        <w:t xml:space="preserve">(additional intake) to the usual intake of n-3 LC-PUFA reported for the current food supply (baseline intake). The assessment includes </w:t>
      </w:r>
      <w:r w:rsidRPr="00633236" w:rsidDel="006E59E9">
        <w:rPr>
          <w:lang w:bidi="ar-SA"/>
        </w:rPr>
        <w:t>the following inputs:</w:t>
      </w:r>
    </w:p>
    <w:p w14:paraId="3F0F4377" w14:textId="2EAA0CA5" w:rsidR="00A145CE" w:rsidRPr="00633236" w:rsidRDefault="00A145CE" w:rsidP="00A145CE">
      <w:pPr>
        <w:pStyle w:val="FSBullet1"/>
        <w:spacing w:before="100" w:beforeAutospacing="1" w:after="60"/>
      </w:pPr>
      <w:r>
        <w:t>c</w:t>
      </w:r>
      <w:r w:rsidRPr="00633236">
        <w:t xml:space="preserve">urrent (baseline) n-3 LC-PUFA usual intakes published by the Australian Bureau of Statistics (ABS) </w:t>
      </w:r>
      <w:r w:rsidRPr="002E5D80">
        <w:t>(ABS 2015</w:t>
      </w:r>
      <w:r>
        <w:t>a</w:t>
      </w:r>
      <w:r w:rsidRPr="002E5D80">
        <w:t>)</w:t>
      </w:r>
      <w:r w:rsidR="00C33082">
        <w:t>;</w:t>
      </w:r>
    </w:p>
    <w:p w14:paraId="479BF5E3" w14:textId="5EC235D9" w:rsidR="00A145CE" w:rsidRPr="00633236" w:rsidRDefault="00A145CE" w:rsidP="00A145CE">
      <w:pPr>
        <w:pStyle w:val="FSBullet1"/>
        <w:spacing w:before="100" w:beforeAutospacing="1" w:after="60"/>
      </w:pPr>
      <w:r>
        <w:t>f</w:t>
      </w:r>
      <w:r w:rsidRPr="00633236">
        <w:t>ood consumption data from the available Australian and New Zealand national nutrition surveys (NNS) – (mean amount</w:t>
      </w:r>
      <w:r>
        <w:t>s of</w:t>
      </w:r>
      <w:r w:rsidRPr="00633236">
        <w:t xml:space="preserve"> canola oil and non-specified vegetable </w:t>
      </w:r>
      <w:r>
        <w:t>oil</w:t>
      </w:r>
      <w:r w:rsidRPr="00633236">
        <w:t xml:space="preserve"> eaten by consumers only, see</w:t>
      </w:r>
      <w:r w:rsidR="009E35FD">
        <w:t xml:space="preserve"> </w:t>
      </w:r>
      <w:hyperlink r:id="rId19" w:history="1">
        <w:r w:rsidR="009E35FD" w:rsidRPr="009E35FD">
          <w:rPr>
            <w:rStyle w:val="Hyperlink"/>
          </w:rPr>
          <w:t>FSANZ website</w:t>
        </w:r>
      </w:hyperlink>
      <w:r w:rsidRPr="00633236">
        <w:t xml:space="preserve"> for details)</w:t>
      </w:r>
      <w:r w:rsidR="00C33082">
        <w:t>;</w:t>
      </w:r>
    </w:p>
    <w:p w14:paraId="4534CE25" w14:textId="674D41A3" w:rsidR="00A145CE" w:rsidRDefault="00A145CE" w:rsidP="00A145CE">
      <w:pPr>
        <w:pStyle w:val="FSBullet1"/>
        <w:spacing w:before="100" w:beforeAutospacing="1" w:after="60"/>
      </w:pPr>
      <w:r>
        <w:t>p</w:t>
      </w:r>
      <w:r w:rsidRPr="00633236">
        <w:t>opulation groups identified in the nutrition assessment</w:t>
      </w:r>
      <w:r w:rsidR="00C33082">
        <w:t>;</w:t>
      </w:r>
    </w:p>
    <w:p w14:paraId="15D542A0" w14:textId="2D3EBDBA" w:rsidR="00A145CE" w:rsidRDefault="00A145CE" w:rsidP="00A145CE">
      <w:pPr>
        <w:pStyle w:val="FSBullet1"/>
        <w:spacing w:before="100" w:beforeAutospacing="1" w:after="60"/>
      </w:pPr>
      <w:r w:rsidRPr="00633236">
        <w:t xml:space="preserve">Nutrient Reference Values (NRV) for n-3 LC-PUFA </w:t>
      </w:r>
      <w:r>
        <w:t xml:space="preserve">(NHMRC </w:t>
      </w:r>
      <w:r w:rsidR="005D13A9">
        <w:t xml:space="preserve">and MoH </w:t>
      </w:r>
      <w:r>
        <w:t>2006)</w:t>
      </w:r>
      <w:r w:rsidR="00C33082">
        <w:t>;</w:t>
      </w:r>
    </w:p>
    <w:p w14:paraId="3169BE28" w14:textId="77777777" w:rsidR="00A145CE" w:rsidRDefault="00A145CE" w:rsidP="00A145CE">
      <w:pPr>
        <w:pStyle w:val="FSBullet1"/>
        <w:spacing w:before="100" w:beforeAutospacing="1" w:after="60"/>
      </w:pPr>
      <w:r>
        <w:t>m</w:t>
      </w:r>
      <w:r w:rsidRPr="00633236">
        <w:t>arket share data based on the different types of oil reported as consumed in the 2011–12 Australian National Nutrition and Physical Activity Survey (2011–12 NNPAS)</w:t>
      </w:r>
      <w:r w:rsidRPr="002E5D80">
        <w:t xml:space="preserve"> (ABS 2015b)</w:t>
      </w:r>
      <w:r>
        <w:t>.</w:t>
      </w:r>
    </w:p>
    <w:p w14:paraId="40B0C9B1" w14:textId="64EE7BEB" w:rsidR="00A145CE" w:rsidRPr="00633236" w:rsidRDefault="00756F8D" w:rsidP="00756F8D">
      <w:pPr>
        <w:pStyle w:val="Heading3"/>
      </w:pPr>
      <w:bookmarkStart w:id="22" w:name="_Toc484004328"/>
      <w:bookmarkStart w:id="23" w:name="_Toc487190308"/>
      <w:bookmarkStart w:id="24" w:name="_Toc497901448"/>
      <w:bookmarkStart w:id="25" w:name="_Toc102573429"/>
      <w:r>
        <w:lastRenderedPageBreak/>
        <w:t>3.2.1</w:t>
      </w:r>
      <w:r>
        <w:tab/>
      </w:r>
      <w:r w:rsidR="00A145CE" w:rsidRPr="00633236">
        <w:t>Baseline intake</w:t>
      </w:r>
      <w:r w:rsidR="00A145CE">
        <w:t>s</w:t>
      </w:r>
      <w:r w:rsidR="00A145CE" w:rsidRPr="00633236">
        <w:t xml:space="preserve"> of n</w:t>
      </w:r>
      <w:r w:rsidR="00A145CE" w:rsidRPr="00633236">
        <w:noBreakHyphen/>
        <w:t>3 LC</w:t>
      </w:r>
      <w:r w:rsidR="00A145CE" w:rsidRPr="00633236">
        <w:noBreakHyphen/>
        <w:t>PUFA</w:t>
      </w:r>
      <w:bookmarkEnd w:id="22"/>
      <w:bookmarkEnd w:id="23"/>
      <w:bookmarkEnd w:id="24"/>
      <w:bookmarkEnd w:id="25"/>
    </w:p>
    <w:p w14:paraId="14D61EA5" w14:textId="7B3F84B2" w:rsidR="00A145CE" w:rsidRPr="00633236" w:rsidRDefault="00A145CE" w:rsidP="00A145CE">
      <w:pPr>
        <w:rPr>
          <w:u w:val="single"/>
        </w:rPr>
      </w:pPr>
      <w:r w:rsidRPr="00633236">
        <w:t xml:space="preserve">The baseline intakes used in the assessment of n-3 LC-PUFA for Australians aged 2 years and above were the usual intakes of n-3 LC-PUFA published by the ABS from the 2011-12 </w:t>
      </w:r>
      <w:r>
        <w:t xml:space="preserve">nutrition survey component of the 2011-13 </w:t>
      </w:r>
      <w:r w:rsidRPr="00633236">
        <w:t>Australian Health Survey</w:t>
      </w:r>
      <w:r>
        <w:t xml:space="preserve"> </w:t>
      </w:r>
      <w:r w:rsidRPr="002E5D80">
        <w:t>(ABS 2015</w:t>
      </w:r>
      <w:r>
        <w:t>a</w:t>
      </w:r>
      <w:r w:rsidRPr="002E5D80">
        <w:t>)</w:t>
      </w:r>
      <w:r>
        <w:t>.</w:t>
      </w:r>
      <w:r w:rsidR="000C0A57">
        <w:t xml:space="preserve"> </w:t>
      </w:r>
      <w:r w:rsidRPr="00633236">
        <w:t>Baseline n-3 LC-PUFA intakes for New Zealanders were not available in the 2002 New Zealand National Children’s Nutrition Survey (</w:t>
      </w:r>
      <w:r w:rsidRPr="007E2D33">
        <w:t>2002 NZ CNS</w:t>
      </w:r>
      <w:r w:rsidRPr="00633236">
        <w:t xml:space="preserve">) and 2008-09 New Zealand Adult Nutrition Survey (2008–09 NZ ANS). </w:t>
      </w:r>
      <w:r w:rsidR="005E4DA7" w:rsidRPr="00B80818">
        <w:t xml:space="preserve">Both the 2002 and 2008 National Surveys report data on PUFAs as a group, not individual </w:t>
      </w:r>
      <w:r w:rsidR="005E4DA7">
        <w:t>FA</w:t>
      </w:r>
      <w:r w:rsidR="005E4DA7" w:rsidRPr="00B80818">
        <w:t xml:space="preserve">s. </w:t>
      </w:r>
      <w:r w:rsidRPr="00633236">
        <w:t>Therefore, the baseline intake</w:t>
      </w:r>
      <w:r w:rsidR="005E4DA7">
        <w:t xml:space="preserve"> of </w:t>
      </w:r>
      <w:r w:rsidR="005E4DA7" w:rsidRPr="00633236">
        <w:t>n-3 LC-PUFA</w:t>
      </w:r>
      <w:r w:rsidRPr="00633236">
        <w:t xml:space="preserve"> for an Australian population group</w:t>
      </w:r>
      <w:r w:rsidR="000C0A57">
        <w:t xml:space="preserve"> was used to</w:t>
      </w:r>
      <w:r w:rsidRPr="00633236">
        <w:t xml:space="preserve"> represent the baseline intake for the corresponding New Zealand age group. As such, this intake assessment assumes that the intake of n-3 LC-PUFA by New Zealand population groups is the same as</w:t>
      </w:r>
      <w:r>
        <w:t xml:space="preserve"> by</w:t>
      </w:r>
      <w:r w:rsidRPr="00633236">
        <w:t xml:space="preserve"> Australia</w:t>
      </w:r>
      <w:r>
        <w:t>n population groups</w:t>
      </w:r>
      <w:r w:rsidRPr="00633236">
        <w:t xml:space="preserve">. </w:t>
      </w:r>
    </w:p>
    <w:p w14:paraId="7562537D" w14:textId="0364350F" w:rsidR="00A145CE" w:rsidRPr="00633236" w:rsidRDefault="00756F8D" w:rsidP="00756F8D">
      <w:pPr>
        <w:pStyle w:val="Heading3"/>
      </w:pPr>
      <w:bookmarkStart w:id="26" w:name="_Toc269201840"/>
      <w:bookmarkStart w:id="27" w:name="_Toc360028615"/>
      <w:bookmarkStart w:id="28" w:name="_Toc415041924"/>
      <w:bookmarkStart w:id="29" w:name="_Toc483902152"/>
      <w:bookmarkStart w:id="30" w:name="_Toc484004329"/>
      <w:bookmarkStart w:id="31" w:name="_Ref484600284"/>
      <w:bookmarkStart w:id="32" w:name="_Toc487190309"/>
      <w:bookmarkStart w:id="33" w:name="_Toc497901449"/>
      <w:bookmarkStart w:id="34" w:name="_Toc102573430"/>
      <w:r>
        <w:t>3.2.2</w:t>
      </w:r>
      <w:r>
        <w:tab/>
      </w:r>
      <w:r w:rsidR="00A145CE" w:rsidRPr="00633236">
        <w:t>Food consumption data used</w:t>
      </w:r>
      <w:bookmarkEnd w:id="26"/>
      <w:bookmarkEnd w:id="27"/>
      <w:bookmarkEnd w:id="28"/>
      <w:bookmarkEnd w:id="29"/>
      <w:bookmarkEnd w:id="30"/>
      <w:bookmarkEnd w:id="31"/>
      <w:bookmarkEnd w:id="32"/>
      <w:bookmarkEnd w:id="33"/>
      <w:bookmarkEnd w:id="34"/>
    </w:p>
    <w:p w14:paraId="5829E16A" w14:textId="77777777" w:rsidR="00A145CE" w:rsidRPr="00633236" w:rsidRDefault="00A145CE" w:rsidP="00A145CE">
      <w:pPr>
        <w:keepNext/>
        <w:keepLines/>
        <w:rPr>
          <w:rFonts w:cs="Arial"/>
        </w:rPr>
      </w:pPr>
      <w:r w:rsidRPr="00633236">
        <w:rPr>
          <w:rFonts w:cs="Arial"/>
        </w:rPr>
        <w:t>The food consumption data used for the dietary intake assessments were:</w:t>
      </w:r>
    </w:p>
    <w:p w14:paraId="59B974DA" w14:textId="5FA3F883" w:rsidR="00A145CE" w:rsidRDefault="00A145CE" w:rsidP="00A145CE">
      <w:pPr>
        <w:pStyle w:val="FSBullet1"/>
        <w:spacing w:before="100" w:beforeAutospacing="1"/>
        <w:ind w:left="499" w:hanging="357"/>
      </w:pPr>
      <w:r w:rsidRPr="00633236">
        <w:t>2002 New Zealand National Children’s Nutrition Survey (2002 NZ CNS</w:t>
      </w:r>
      <w:r w:rsidR="001436A5">
        <w:t>)</w:t>
      </w:r>
      <w:r>
        <w:t xml:space="preserve"> (New Zealand Ministry of Health 2005)</w:t>
      </w:r>
      <w:r w:rsidR="001436A5">
        <w:t xml:space="preserve"> (one 24-hour recall for 3,275 respondents aged 5-14 years</w:t>
      </w:r>
      <w:r>
        <w:t>)</w:t>
      </w:r>
      <w:r w:rsidR="00C33082">
        <w:t>;</w:t>
      </w:r>
    </w:p>
    <w:p w14:paraId="3AC4A4C4" w14:textId="2CC0A708" w:rsidR="00A145CE" w:rsidRPr="00633236" w:rsidRDefault="00A145CE" w:rsidP="00A145CE">
      <w:pPr>
        <w:pStyle w:val="FSBullet1"/>
        <w:spacing w:before="100" w:beforeAutospacing="1"/>
        <w:ind w:left="499" w:hanging="357"/>
      </w:pPr>
      <w:r w:rsidRPr="00633236">
        <w:t>2008–09 New Zealand Adult Nutrition Survey (2008–09 NZ ANS</w:t>
      </w:r>
      <w:r>
        <w:t>) (New Zealand Ministry of Health 2011 a, b)</w:t>
      </w:r>
      <w:r w:rsidR="001436A5">
        <w:t xml:space="preserve"> (one 24-hour recall for 4,721 respondents aged 15 years and above</w:t>
      </w:r>
      <w:r>
        <w:t>)</w:t>
      </w:r>
      <w:r w:rsidR="00C33082">
        <w:t>;</w:t>
      </w:r>
      <w:r w:rsidRPr="00633236" w:rsidDel="00100508">
        <w:t xml:space="preserve"> </w:t>
      </w:r>
    </w:p>
    <w:p w14:paraId="3465EC23" w14:textId="7184B42D" w:rsidR="00AF6513" w:rsidRDefault="00A145CE" w:rsidP="00A145CE">
      <w:pPr>
        <w:pStyle w:val="FSBullet1"/>
        <w:spacing w:before="100" w:beforeAutospacing="1"/>
      </w:pPr>
      <w:r w:rsidRPr="00633236">
        <w:t>2011-12 Australian National Nutrition and Physical Activity Survey (2011-12 NNPAS</w:t>
      </w:r>
      <w:r>
        <w:t xml:space="preserve">) </w:t>
      </w:r>
      <w:r w:rsidRPr="007E2D33">
        <w:t>(ABS 2015b)</w:t>
      </w:r>
      <w:r w:rsidR="001436A5">
        <w:t xml:space="preserve"> (12,153 respondents aged 2 years and above completed one 24-hour recall with 7735 respondents completing two 24-hour recalls</w:t>
      </w:r>
      <w:r w:rsidRPr="007E2D33">
        <w:t>)</w:t>
      </w:r>
      <w:r>
        <w:t>.</w:t>
      </w:r>
    </w:p>
    <w:p w14:paraId="0EEFDF06" w14:textId="58D868CD" w:rsidR="00AF6513" w:rsidRDefault="00A145CE" w:rsidP="008733DF">
      <w:pPr>
        <w:spacing w:before="240" w:after="240"/>
        <w:rPr>
          <w:rFonts w:cs="Arial"/>
          <w:iCs/>
          <w:szCs w:val="22"/>
        </w:rPr>
      </w:pPr>
      <w:r>
        <w:t xml:space="preserve">The design of these nutrition surveys and the key attributes, including survey limitations, are set out </w:t>
      </w:r>
      <w:r w:rsidR="000C0A57">
        <w:t>o</w:t>
      </w:r>
      <w:r>
        <w:t xml:space="preserve">n the </w:t>
      </w:r>
      <w:hyperlink r:id="rId20" w:history="1">
        <w:r w:rsidRPr="00E24F2B">
          <w:rPr>
            <w:rStyle w:val="Hyperlink"/>
            <w:rFonts w:eastAsiaTheme="majorEastAsia"/>
          </w:rPr>
          <w:t>FSANZ website</w:t>
        </w:r>
      </w:hyperlink>
      <w:r>
        <w:t>.</w:t>
      </w:r>
    </w:p>
    <w:p w14:paraId="2280B538" w14:textId="7DE8F737" w:rsidR="00A145CE" w:rsidRPr="00EF6D3D" w:rsidRDefault="002B1A26" w:rsidP="008733DF">
      <w:pPr>
        <w:spacing w:after="240"/>
        <w:rPr>
          <w:rFonts w:cs="Arial"/>
          <w:iCs/>
          <w:sz w:val="24"/>
        </w:rPr>
      </w:pPr>
      <w:r>
        <w:rPr>
          <w:rFonts w:cs="Arial"/>
          <w:iCs/>
          <w:szCs w:val="22"/>
        </w:rPr>
        <w:t>For the oil consumption component of this assessment, o</w:t>
      </w:r>
      <w:r w:rsidR="00A145CE" w:rsidRPr="00EF6D3D">
        <w:rPr>
          <w:rFonts w:cs="Arial"/>
          <w:iCs/>
          <w:szCs w:val="22"/>
        </w:rPr>
        <w:t>ne day of food consumption data from both of the N</w:t>
      </w:r>
      <w:r w:rsidR="00A145CE">
        <w:rPr>
          <w:rFonts w:cs="Arial"/>
          <w:iCs/>
          <w:szCs w:val="22"/>
        </w:rPr>
        <w:t xml:space="preserve">ew </w:t>
      </w:r>
      <w:r w:rsidR="00A145CE" w:rsidRPr="00EF6D3D">
        <w:rPr>
          <w:rFonts w:cs="Arial"/>
          <w:iCs/>
          <w:szCs w:val="22"/>
        </w:rPr>
        <w:t>Z</w:t>
      </w:r>
      <w:r w:rsidR="00A145CE">
        <w:rPr>
          <w:rFonts w:cs="Arial"/>
          <w:iCs/>
          <w:szCs w:val="22"/>
        </w:rPr>
        <w:t>ealand</w:t>
      </w:r>
      <w:r w:rsidR="00A145CE" w:rsidRPr="00EF6D3D">
        <w:rPr>
          <w:rFonts w:cs="Arial"/>
          <w:iCs/>
          <w:szCs w:val="22"/>
        </w:rPr>
        <w:t xml:space="preserve"> surveys were used whereas the average of two days of data from the 2011-12 NNPAS was used for Australia. Two day average </w:t>
      </w:r>
      <w:r>
        <w:rPr>
          <w:rFonts w:cs="Arial"/>
          <w:iCs/>
          <w:szCs w:val="22"/>
        </w:rPr>
        <w:t>consumption amounts</w:t>
      </w:r>
      <w:r w:rsidRPr="00EF6D3D">
        <w:rPr>
          <w:rFonts w:cs="Arial"/>
          <w:iCs/>
          <w:szCs w:val="22"/>
        </w:rPr>
        <w:t xml:space="preserve"> </w:t>
      </w:r>
      <w:r w:rsidR="00A145CE" w:rsidRPr="00EF6D3D">
        <w:rPr>
          <w:rFonts w:cs="Arial"/>
          <w:iCs/>
          <w:szCs w:val="22"/>
        </w:rPr>
        <w:t xml:space="preserve">better reflect longer term estimates of </w:t>
      </w:r>
      <w:r>
        <w:rPr>
          <w:rFonts w:cs="Arial"/>
          <w:iCs/>
          <w:szCs w:val="22"/>
        </w:rPr>
        <w:t>food consumption</w:t>
      </w:r>
      <w:r w:rsidR="00A145CE" w:rsidRPr="00EF6D3D">
        <w:rPr>
          <w:rFonts w:cs="Arial"/>
          <w:iCs/>
          <w:szCs w:val="22"/>
        </w:rPr>
        <w:t xml:space="preserve"> and therefore </w:t>
      </w:r>
      <w:r>
        <w:rPr>
          <w:rFonts w:cs="Arial"/>
          <w:iCs/>
          <w:szCs w:val="22"/>
        </w:rPr>
        <w:t>produce a better</w:t>
      </w:r>
      <w:r w:rsidR="00A145CE" w:rsidRPr="00EF6D3D">
        <w:rPr>
          <w:rFonts w:cs="Arial"/>
          <w:iCs/>
          <w:szCs w:val="22"/>
        </w:rPr>
        <w:t xml:space="preserve"> estimate of chronic dietary </w:t>
      </w:r>
      <w:r w:rsidR="00A145CE">
        <w:rPr>
          <w:rFonts w:cs="Arial"/>
          <w:iCs/>
          <w:szCs w:val="22"/>
        </w:rPr>
        <w:t>intake</w:t>
      </w:r>
      <w:r w:rsidR="00A145CE" w:rsidRPr="00EF6D3D">
        <w:rPr>
          <w:rFonts w:cs="Arial"/>
          <w:iCs/>
          <w:sz w:val="24"/>
        </w:rPr>
        <w:t>.</w:t>
      </w:r>
    </w:p>
    <w:p w14:paraId="3EB4FA03" w14:textId="21354D89" w:rsidR="00A145CE" w:rsidRPr="00633236" w:rsidRDefault="00756F8D" w:rsidP="00756F8D">
      <w:pPr>
        <w:pStyle w:val="Heading3"/>
      </w:pPr>
      <w:bookmarkStart w:id="35" w:name="_Toc102573431"/>
      <w:r>
        <w:t>3.2</w:t>
      </w:r>
      <w:bookmarkStart w:id="36" w:name="_Toc465176601"/>
      <w:bookmarkStart w:id="37" w:name="_Toc465170026"/>
      <w:bookmarkStart w:id="38" w:name="_Toc483902156"/>
      <w:bookmarkStart w:id="39" w:name="_Toc484004333"/>
      <w:bookmarkStart w:id="40" w:name="_Toc487190313"/>
      <w:bookmarkStart w:id="41" w:name="_Toc497901453"/>
      <w:r w:rsidR="00831754">
        <w:t>.3</w:t>
      </w:r>
      <w:r w:rsidR="00831754">
        <w:tab/>
      </w:r>
      <w:r w:rsidR="00A145CE" w:rsidRPr="00544147">
        <w:t>Population groups assessed</w:t>
      </w:r>
      <w:bookmarkEnd w:id="35"/>
      <w:bookmarkEnd w:id="36"/>
      <w:bookmarkEnd w:id="37"/>
      <w:bookmarkEnd w:id="38"/>
      <w:bookmarkEnd w:id="39"/>
      <w:bookmarkEnd w:id="40"/>
      <w:bookmarkEnd w:id="41"/>
    </w:p>
    <w:p w14:paraId="2031F4E7" w14:textId="024E037A" w:rsidR="002932DC" w:rsidRDefault="00A145CE" w:rsidP="00D26E0D">
      <w:pPr>
        <w:spacing w:after="240"/>
      </w:pPr>
      <w:r w:rsidRPr="00EF6D3D">
        <w:t>The hazard characterisation did not identify any target or at-risk groups for which there were specific safety considerations in relation to n-3 LC-PUFA intakes. For Australia, the</w:t>
      </w:r>
      <w:r w:rsidRPr="00633236">
        <w:t xml:space="preserve"> population groups used for the dietary intake assessment are the same as the Nutrient Reference Value (NRV) age groups.</w:t>
      </w:r>
      <w:r w:rsidR="002932DC" w:rsidRPr="002932DC">
        <w:t xml:space="preserve"> </w:t>
      </w:r>
    </w:p>
    <w:p w14:paraId="599E2C5B" w14:textId="076DF3E3" w:rsidR="002932DC" w:rsidRPr="00141A2F" w:rsidRDefault="002932DC" w:rsidP="002932DC">
      <w:pPr>
        <w:rPr>
          <w:b/>
        </w:rPr>
      </w:pPr>
      <w:r w:rsidRPr="00141A2F">
        <w:rPr>
          <w:b/>
        </w:rPr>
        <w:t>Table 5: New Zealand age groups used in this assessment and their matching NRV age groups for deriving a baseline n</w:t>
      </w:r>
      <w:r w:rsidRPr="00141A2F">
        <w:rPr>
          <w:b/>
        </w:rPr>
        <w:noBreakHyphen/>
        <w:t>3 LC</w:t>
      </w:r>
      <w:r w:rsidRPr="00141A2F">
        <w:rPr>
          <w:b/>
        </w:rPr>
        <w:noBreakHyphen/>
        <w:t>PUFA dietary intake</w:t>
      </w:r>
    </w:p>
    <w:tbl>
      <w:tblPr>
        <w:tblStyle w:val="TableGrid"/>
        <w:tblW w:w="0" w:type="auto"/>
        <w:tblLook w:val="04A0" w:firstRow="1" w:lastRow="0" w:firstColumn="1" w:lastColumn="0" w:noHBand="0" w:noVBand="1"/>
        <w:tblCaption w:val="Table 1:  New Zealand age groups used in this assessment and their matching NRV age groups for deriving a baseline n 3 LC PUFA dietary intake"/>
        <w:tblDescription w:val="Table 1:  New Zealand age groups used in this assessment and their matching NRV age groups for deriving a baseline n 3 LC PUFA dietary intake"/>
      </w:tblPr>
      <w:tblGrid>
        <w:gridCol w:w="3652"/>
        <w:gridCol w:w="3573"/>
      </w:tblGrid>
      <w:tr w:rsidR="005E4DA7" w:rsidRPr="002F400D" w14:paraId="52D0580E" w14:textId="77777777" w:rsidTr="00D26E0D">
        <w:trPr>
          <w:tblHeader/>
        </w:trPr>
        <w:tc>
          <w:tcPr>
            <w:tcW w:w="3652" w:type="dxa"/>
            <w:shd w:val="clear" w:color="auto" w:fill="9BBB59" w:themeFill="accent3"/>
          </w:tcPr>
          <w:p w14:paraId="45B4CFC1" w14:textId="77777777" w:rsidR="005E4DA7" w:rsidRPr="002F400D" w:rsidRDefault="005E4DA7" w:rsidP="003D5EA8">
            <w:pPr>
              <w:rPr>
                <w:b/>
                <w:lang w:val="en-AU" w:bidi="ar-SA"/>
              </w:rPr>
            </w:pPr>
            <w:r w:rsidRPr="002F400D">
              <w:rPr>
                <w:b/>
                <w:lang w:val="en-AU" w:bidi="ar-SA"/>
              </w:rPr>
              <w:t>New Zealand Survey age groups</w:t>
            </w:r>
          </w:p>
        </w:tc>
        <w:tc>
          <w:tcPr>
            <w:tcW w:w="3573" w:type="dxa"/>
            <w:shd w:val="clear" w:color="auto" w:fill="9BBB59" w:themeFill="accent3"/>
          </w:tcPr>
          <w:p w14:paraId="4492E7B8" w14:textId="6D952385" w:rsidR="005E4DA7" w:rsidRPr="002F400D" w:rsidRDefault="00D95CC4" w:rsidP="00D95CC4">
            <w:pPr>
              <w:rPr>
                <w:b/>
                <w:lang w:val="en-AU" w:bidi="ar-SA"/>
              </w:rPr>
            </w:pPr>
            <w:r>
              <w:rPr>
                <w:b/>
                <w:lang w:val="en-AU" w:bidi="ar-SA"/>
              </w:rPr>
              <w:t>Corresponding NRV</w:t>
            </w:r>
            <w:r w:rsidR="005E4DA7" w:rsidRPr="002F400D">
              <w:rPr>
                <w:b/>
                <w:lang w:val="en-AU" w:bidi="ar-SA"/>
              </w:rPr>
              <w:t xml:space="preserve"> age group</w:t>
            </w:r>
          </w:p>
        </w:tc>
      </w:tr>
      <w:tr w:rsidR="005E4DA7" w:rsidRPr="003102E8" w14:paraId="427A3B08" w14:textId="77777777" w:rsidTr="00D95CC4">
        <w:tc>
          <w:tcPr>
            <w:tcW w:w="3652" w:type="dxa"/>
            <w:vAlign w:val="center"/>
          </w:tcPr>
          <w:p w14:paraId="1DCF059A" w14:textId="77777777" w:rsidR="005E4DA7" w:rsidRPr="00B80818" w:rsidRDefault="005E4DA7" w:rsidP="003D5EA8">
            <w:pPr>
              <w:jc w:val="center"/>
              <w:rPr>
                <w:lang w:val="en-AU" w:bidi="ar-SA"/>
              </w:rPr>
            </w:pPr>
            <w:r w:rsidRPr="00B80818">
              <w:rPr>
                <w:lang w:val="en-AU" w:bidi="ar-SA"/>
              </w:rPr>
              <w:t>5-8</w:t>
            </w:r>
          </w:p>
        </w:tc>
        <w:tc>
          <w:tcPr>
            <w:tcW w:w="3573" w:type="dxa"/>
            <w:vAlign w:val="center"/>
          </w:tcPr>
          <w:p w14:paraId="2A16A9BB" w14:textId="77777777" w:rsidR="005E4DA7" w:rsidRPr="00B80818" w:rsidRDefault="005E4DA7" w:rsidP="003D5EA8">
            <w:pPr>
              <w:jc w:val="center"/>
              <w:rPr>
                <w:lang w:val="en-AU" w:bidi="ar-SA"/>
              </w:rPr>
            </w:pPr>
            <w:r w:rsidRPr="00B80818">
              <w:rPr>
                <w:lang w:val="en-AU" w:bidi="ar-SA"/>
              </w:rPr>
              <w:t>4-8</w:t>
            </w:r>
          </w:p>
        </w:tc>
      </w:tr>
      <w:tr w:rsidR="005E4DA7" w:rsidRPr="003102E8" w14:paraId="72BC891B" w14:textId="77777777" w:rsidTr="00D95CC4">
        <w:tc>
          <w:tcPr>
            <w:tcW w:w="3652" w:type="dxa"/>
            <w:shd w:val="clear" w:color="auto" w:fill="EAF1DD" w:themeFill="accent3" w:themeFillTint="33"/>
            <w:vAlign w:val="center"/>
          </w:tcPr>
          <w:p w14:paraId="66378269" w14:textId="77777777" w:rsidR="005E4DA7" w:rsidRPr="00B80818" w:rsidRDefault="005E4DA7" w:rsidP="003D5EA8">
            <w:pPr>
              <w:jc w:val="center"/>
              <w:rPr>
                <w:lang w:val="en-AU" w:bidi="ar-SA"/>
              </w:rPr>
            </w:pPr>
            <w:r w:rsidRPr="00B80818">
              <w:rPr>
                <w:lang w:val="en-AU" w:bidi="ar-SA"/>
              </w:rPr>
              <w:t>9-13</w:t>
            </w:r>
          </w:p>
        </w:tc>
        <w:tc>
          <w:tcPr>
            <w:tcW w:w="3573" w:type="dxa"/>
            <w:shd w:val="clear" w:color="auto" w:fill="EAF1DD" w:themeFill="accent3" w:themeFillTint="33"/>
            <w:vAlign w:val="center"/>
          </w:tcPr>
          <w:p w14:paraId="7A92F48C" w14:textId="77777777" w:rsidR="005E4DA7" w:rsidRPr="00B80818" w:rsidRDefault="005E4DA7" w:rsidP="003D5EA8">
            <w:pPr>
              <w:jc w:val="center"/>
              <w:rPr>
                <w:lang w:val="en-AU" w:bidi="ar-SA"/>
              </w:rPr>
            </w:pPr>
            <w:r w:rsidRPr="00B80818">
              <w:rPr>
                <w:lang w:val="en-AU" w:bidi="ar-SA"/>
              </w:rPr>
              <w:t>9-13</w:t>
            </w:r>
          </w:p>
        </w:tc>
      </w:tr>
      <w:tr w:rsidR="005E4DA7" w:rsidRPr="003102E8" w14:paraId="6088BF27" w14:textId="77777777" w:rsidTr="00D95CC4">
        <w:tc>
          <w:tcPr>
            <w:tcW w:w="3652" w:type="dxa"/>
            <w:vAlign w:val="center"/>
          </w:tcPr>
          <w:p w14:paraId="45E4C087" w14:textId="77777777" w:rsidR="005E4DA7" w:rsidRPr="00B80818" w:rsidRDefault="005E4DA7" w:rsidP="003D5EA8">
            <w:pPr>
              <w:jc w:val="center"/>
              <w:rPr>
                <w:lang w:val="en-AU" w:bidi="ar-SA"/>
              </w:rPr>
            </w:pPr>
            <w:r w:rsidRPr="00B80818">
              <w:rPr>
                <w:lang w:val="en-AU" w:bidi="ar-SA"/>
              </w:rPr>
              <w:t>14</w:t>
            </w:r>
          </w:p>
        </w:tc>
        <w:tc>
          <w:tcPr>
            <w:tcW w:w="3573" w:type="dxa"/>
            <w:vAlign w:val="center"/>
          </w:tcPr>
          <w:p w14:paraId="73BACE49" w14:textId="77777777" w:rsidR="005E4DA7" w:rsidRPr="00B80818" w:rsidRDefault="005E4DA7" w:rsidP="003D5EA8">
            <w:pPr>
              <w:jc w:val="center"/>
              <w:rPr>
                <w:lang w:val="en-AU" w:bidi="ar-SA"/>
              </w:rPr>
            </w:pPr>
            <w:r w:rsidRPr="00B80818">
              <w:rPr>
                <w:lang w:val="en-AU" w:bidi="ar-SA"/>
              </w:rPr>
              <w:t>14-18</w:t>
            </w:r>
          </w:p>
        </w:tc>
      </w:tr>
      <w:tr w:rsidR="005E4DA7" w:rsidRPr="003102E8" w14:paraId="1A05D4AB" w14:textId="77777777" w:rsidTr="00D95CC4">
        <w:tc>
          <w:tcPr>
            <w:tcW w:w="3652" w:type="dxa"/>
            <w:shd w:val="clear" w:color="auto" w:fill="EAF1DD" w:themeFill="accent3" w:themeFillTint="33"/>
            <w:vAlign w:val="center"/>
          </w:tcPr>
          <w:p w14:paraId="791A2616" w14:textId="77777777" w:rsidR="005E4DA7" w:rsidRPr="00B80818" w:rsidRDefault="005E4DA7" w:rsidP="003D5EA8">
            <w:pPr>
              <w:jc w:val="center"/>
              <w:rPr>
                <w:lang w:val="en-AU" w:bidi="ar-SA"/>
              </w:rPr>
            </w:pPr>
            <w:r w:rsidRPr="00B80818">
              <w:rPr>
                <w:lang w:val="en-AU" w:bidi="ar-SA"/>
              </w:rPr>
              <w:t>15-18</w:t>
            </w:r>
          </w:p>
        </w:tc>
        <w:tc>
          <w:tcPr>
            <w:tcW w:w="3573" w:type="dxa"/>
            <w:shd w:val="clear" w:color="auto" w:fill="EAF1DD" w:themeFill="accent3" w:themeFillTint="33"/>
            <w:vAlign w:val="center"/>
          </w:tcPr>
          <w:p w14:paraId="7B3421E9" w14:textId="77777777" w:rsidR="005E4DA7" w:rsidRPr="00B80818" w:rsidRDefault="005E4DA7" w:rsidP="003D5EA8">
            <w:pPr>
              <w:jc w:val="center"/>
              <w:rPr>
                <w:lang w:val="en-AU" w:bidi="ar-SA"/>
              </w:rPr>
            </w:pPr>
            <w:r w:rsidRPr="00B80818">
              <w:rPr>
                <w:lang w:val="en-AU" w:bidi="ar-SA"/>
              </w:rPr>
              <w:t>14-18</w:t>
            </w:r>
          </w:p>
        </w:tc>
      </w:tr>
      <w:tr w:rsidR="005E4DA7" w:rsidRPr="003102E8" w14:paraId="5B3D80F8" w14:textId="77777777" w:rsidTr="00D95CC4">
        <w:tc>
          <w:tcPr>
            <w:tcW w:w="3652" w:type="dxa"/>
            <w:vAlign w:val="center"/>
          </w:tcPr>
          <w:p w14:paraId="6CBC62AF" w14:textId="77777777" w:rsidR="005E4DA7" w:rsidRPr="00B80818" w:rsidRDefault="005E4DA7" w:rsidP="003D5EA8">
            <w:pPr>
              <w:jc w:val="center"/>
              <w:rPr>
                <w:lang w:val="en-AU" w:bidi="ar-SA"/>
              </w:rPr>
            </w:pPr>
            <w:r w:rsidRPr="00B80818">
              <w:rPr>
                <w:lang w:val="en-AU" w:bidi="ar-SA"/>
              </w:rPr>
              <w:t>19-30</w:t>
            </w:r>
          </w:p>
        </w:tc>
        <w:tc>
          <w:tcPr>
            <w:tcW w:w="3573" w:type="dxa"/>
            <w:vAlign w:val="center"/>
          </w:tcPr>
          <w:p w14:paraId="1222C71E" w14:textId="77777777" w:rsidR="005E4DA7" w:rsidRPr="00B80818" w:rsidRDefault="005E4DA7" w:rsidP="003D5EA8">
            <w:pPr>
              <w:jc w:val="center"/>
              <w:rPr>
                <w:lang w:val="en-AU" w:bidi="ar-SA"/>
              </w:rPr>
            </w:pPr>
            <w:r w:rsidRPr="00B80818">
              <w:rPr>
                <w:lang w:val="en-AU" w:bidi="ar-SA"/>
              </w:rPr>
              <w:t>19-30</w:t>
            </w:r>
          </w:p>
        </w:tc>
      </w:tr>
      <w:tr w:rsidR="005E4DA7" w:rsidRPr="003102E8" w14:paraId="1CC2B836" w14:textId="77777777" w:rsidTr="00D95CC4">
        <w:tc>
          <w:tcPr>
            <w:tcW w:w="3652" w:type="dxa"/>
            <w:shd w:val="clear" w:color="auto" w:fill="EAF1DD" w:themeFill="accent3" w:themeFillTint="33"/>
            <w:vAlign w:val="center"/>
          </w:tcPr>
          <w:p w14:paraId="61899756" w14:textId="77777777" w:rsidR="005E4DA7" w:rsidRPr="00B80818" w:rsidRDefault="005E4DA7" w:rsidP="003D5EA8">
            <w:pPr>
              <w:jc w:val="center"/>
              <w:rPr>
                <w:lang w:val="en-AU" w:bidi="ar-SA"/>
              </w:rPr>
            </w:pPr>
            <w:r w:rsidRPr="00B80818">
              <w:rPr>
                <w:lang w:val="en-AU" w:bidi="ar-SA"/>
              </w:rPr>
              <w:t>31-50</w:t>
            </w:r>
          </w:p>
        </w:tc>
        <w:tc>
          <w:tcPr>
            <w:tcW w:w="3573" w:type="dxa"/>
            <w:shd w:val="clear" w:color="auto" w:fill="EAF1DD" w:themeFill="accent3" w:themeFillTint="33"/>
            <w:vAlign w:val="center"/>
          </w:tcPr>
          <w:p w14:paraId="767FB7FF" w14:textId="77777777" w:rsidR="005E4DA7" w:rsidRPr="00B80818" w:rsidRDefault="005E4DA7" w:rsidP="003D5EA8">
            <w:pPr>
              <w:jc w:val="center"/>
              <w:rPr>
                <w:lang w:val="en-AU" w:bidi="ar-SA"/>
              </w:rPr>
            </w:pPr>
            <w:r w:rsidRPr="00B80818">
              <w:rPr>
                <w:lang w:val="en-AU" w:bidi="ar-SA"/>
              </w:rPr>
              <w:t>31-50</w:t>
            </w:r>
          </w:p>
        </w:tc>
      </w:tr>
      <w:tr w:rsidR="005E4DA7" w:rsidRPr="003102E8" w14:paraId="41764E2F" w14:textId="77777777" w:rsidTr="00D95CC4">
        <w:tc>
          <w:tcPr>
            <w:tcW w:w="3652" w:type="dxa"/>
            <w:vAlign w:val="center"/>
          </w:tcPr>
          <w:p w14:paraId="7521ABC8" w14:textId="77777777" w:rsidR="005E4DA7" w:rsidRPr="00B80818" w:rsidRDefault="005E4DA7" w:rsidP="003D5EA8">
            <w:pPr>
              <w:jc w:val="center"/>
              <w:rPr>
                <w:lang w:val="en-AU" w:bidi="ar-SA"/>
              </w:rPr>
            </w:pPr>
            <w:r w:rsidRPr="00B80818">
              <w:rPr>
                <w:lang w:val="en-AU" w:bidi="ar-SA"/>
              </w:rPr>
              <w:t>51-70</w:t>
            </w:r>
          </w:p>
        </w:tc>
        <w:tc>
          <w:tcPr>
            <w:tcW w:w="3573" w:type="dxa"/>
            <w:vAlign w:val="center"/>
          </w:tcPr>
          <w:p w14:paraId="27C81264" w14:textId="77777777" w:rsidR="005E4DA7" w:rsidRPr="00B80818" w:rsidRDefault="005E4DA7" w:rsidP="003D5EA8">
            <w:pPr>
              <w:jc w:val="center"/>
              <w:rPr>
                <w:lang w:val="en-AU" w:bidi="ar-SA"/>
              </w:rPr>
            </w:pPr>
            <w:r w:rsidRPr="00B80818">
              <w:rPr>
                <w:lang w:val="en-AU" w:bidi="ar-SA"/>
              </w:rPr>
              <w:t>51-70</w:t>
            </w:r>
          </w:p>
        </w:tc>
      </w:tr>
      <w:tr w:rsidR="005E4DA7" w:rsidRPr="003102E8" w14:paraId="488483DA" w14:textId="77777777" w:rsidTr="00D95CC4">
        <w:tc>
          <w:tcPr>
            <w:tcW w:w="3652" w:type="dxa"/>
            <w:shd w:val="clear" w:color="auto" w:fill="EAF1DD" w:themeFill="accent3" w:themeFillTint="33"/>
            <w:vAlign w:val="center"/>
          </w:tcPr>
          <w:p w14:paraId="72A24254" w14:textId="77777777" w:rsidR="005E4DA7" w:rsidRPr="00B80818" w:rsidRDefault="005E4DA7" w:rsidP="003D5EA8">
            <w:pPr>
              <w:jc w:val="center"/>
              <w:rPr>
                <w:lang w:val="en-AU" w:bidi="ar-SA"/>
              </w:rPr>
            </w:pPr>
            <w:r w:rsidRPr="00B80818">
              <w:rPr>
                <w:lang w:val="en-AU" w:bidi="ar-SA"/>
              </w:rPr>
              <w:t>≥71</w:t>
            </w:r>
          </w:p>
        </w:tc>
        <w:tc>
          <w:tcPr>
            <w:tcW w:w="3573" w:type="dxa"/>
            <w:shd w:val="clear" w:color="auto" w:fill="EAF1DD" w:themeFill="accent3" w:themeFillTint="33"/>
            <w:vAlign w:val="center"/>
          </w:tcPr>
          <w:p w14:paraId="55D787E0" w14:textId="77777777" w:rsidR="005E4DA7" w:rsidRPr="00B80818" w:rsidRDefault="005E4DA7" w:rsidP="003D5EA8">
            <w:pPr>
              <w:jc w:val="center"/>
              <w:rPr>
                <w:lang w:val="en-AU" w:bidi="ar-SA"/>
              </w:rPr>
            </w:pPr>
            <w:r w:rsidRPr="00B80818">
              <w:rPr>
                <w:lang w:val="en-AU" w:bidi="ar-SA"/>
              </w:rPr>
              <w:t>≥71</w:t>
            </w:r>
          </w:p>
        </w:tc>
      </w:tr>
    </w:tbl>
    <w:p w14:paraId="3E416B63" w14:textId="0E81C3BC" w:rsidR="00936E3F" w:rsidRPr="00936E3F" w:rsidRDefault="00936E3F" w:rsidP="00D26E0D">
      <w:pPr>
        <w:spacing w:before="240" w:after="240"/>
      </w:pPr>
      <w:r w:rsidRPr="00936E3F">
        <w:t xml:space="preserve">For New Zealand, the survey age groups and the NRV age groups do not exactly match. As </w:t>
      </w:r>
      <w:r w:rsidRPr="00936E3F">
        <w:lastRenderedPageBreak/>
        <w:t>the n</w:t>
      </w:r>
      <w:r w:rsidRPr="00936E3F">
        <w:noBreakHyphen/>
        <w:t>3 LC</w:t>
      </w:r>
      <w:r w:rsidRPr="00936E3F">
        <w:noBreakHyphen/>
        <w:t>PUFA usual intakes reported by the ABS for the 2011-12 NNPAS are only available for the Australian population groups, this assessment assigns the best population intake match possible to the available New Zealand population groups based on NRV age/sex groups.</w:t>
      </w:r>
    </w:p>
    <w:p w14:paraId="1B3E5188" w14:textId="3FEC3CB3" w:rsidR="00A145CE" w:rsidRPr="00A94132" w:rsidRDefault="00756F8D" w:rsidP="00756F8D">
      <w:pPr>
        <w:pStyle w:val="Heading3"/>
      </w:pPr>
      <w:bookmarkStart w:id="42" w:name="_Ref406489437"/>
      <w:bookmarkStart w:id="43" w:name="_Toc465176598"/>
      <w:bookmarkStart w:id="44" w:name="_Toc465170023"/>
      <w:bookmarkStart w:id="45" w:name="_Toc483902157"/>
      <w:bookmarkStart w:id="46" w:name="_Toc484004334"/>
      <w:bookmarkStart w:id="47" w:name="_Toc487190314"/>
      <w:bookmarkStart w:id="48" w:name="_Toc497901454"/>
      <w:bookmarkStart w:id="49" w:name="_Toc102573432"/>
      <w:bookmarkStart w:id="50" w:name="_Toc360028616"/>
      <w:bookmarkEnd w:id="42"/>
      <w:r>
        <w:t>3.2.4</w:t>
      </w:r>
      <w:r>
        <w:tab/>
      </w:r>
      <w:r w:rsidR="00A145CE" w:rsidRPr="00A94132">
        <w:t>Concentration data used</w:t>
      </w:r>
      <w:bookmarkEnd w:id="43"/>
      <w:bookmarkEnd w:id="44"/>
      <w:bookmarkEnd w:id="45"/>
      <w:bookmarkEnd w:id="46"/>
      <w:bookmarkEnd w:id="47"/>
      <w:bookmarkEnd w:id="48"/>
      <w:bookmarkEnd w:id="49"/>
    </w:p>
    <w:p w14:paraId="63809958" w14:textId="39A553C3" w:rsidR="00AF6513" w:rsidRDefault="00A145CE" w:rsidP="00936E3F">
      <w:pPr>
        <w:spacing w:after="240"/>
      </w:pPr>
      <w:r>
        <w:t xml:space="preserve">The concentration data </w:t>
      </w:r>
      <w:r w:rsidRPr="000D2A19">
        <w:t xml:space="preserve">used in the </w:t>
      </w:r>
      <w:r>
        <w:t xml:space="preserve">dietary intake </w:t>
      </w:r>
      <w:r w:rsidRPr="000D2A19">
        <w:t xml:space="preserve">assessment </w:t>
      </w:r>
      <w:r w:rsidR="00861108">
        <w:t>for the LFBLFK canola oil</w:t>
      </w:r>
      <w:r w:rsidR="00861108" w:rsidRPr="000D2A19">
        <w:t xml:space="preserve"> </w:t>
      </w:r>
      <w:r w:rsidRPr="000D2A19">
        <w:t xml:space="preserve">was </w:t>
      </w:r>
      <w:r>
        <w:t>sourced</w:t>
      </w:r>
      <w:r w:rsidRPr="000D2A19">
        <w:t xml:space="preserve"> from the </w:t>
      </w:r>
      <w:r>
        <w:t xml:space="preserve">Application. </w:t>
      </w:r>
      <w:r w:rsidRPr="000D2A19">
        <w:t xml:space="preserve">The n-3 LC-PUFA concentration (sum of DHA+EPA+DPA) in </w:t>
      </w:r>
      <w:r w:rsidR="007D6F4D">
        <w:t xml:space="preserve">crude </w:t>
      </w:r>
      <w:r>
        <w:t>LFBLFK canola oil</w:t>
      </w:r>
      <w:r w:rsidRPr="000D2A19">
        <w:t xml:space="preserve"> is </w:t>
      </w:r>
      <w:r>
        <w:t>8</w:t>
      </w:r>
      <w:r w:rsidRPr="000D2A19">
        <w:t xml:space="preserve">.8%, equivalent to </w:t>
      </w:r>
      <w:r>
        <w:t>8</w:t>
      </w:r>
      <w:r w:rsidRPr="000D2A19">
        <w:t xml:space="preserve">.8 g </w:t>
      </w:r>
      <w:r>
        <w:t xml:space="preserve">of </w:t>
      </w:r>
      <w:r w:rsidRPr="000D2A19">
        <w:t>n-3 LC-PUFA in 100 g</w:t>
      </w:r>
      <w:r w:rsidR="007D6F4D">
        <w:t xml:space="preserve"> of oil.</w:t>
      </w:r>
      <w:r w:rsidRPr="000D2A19">
        <w:t xml:space="preserve"> </w:t>
      </w:r>
      <w:r w:rsidR="00861108">
        <w:t>The concentration from the crude oil was used in the dietary intake assessment</w:t>
      </w:r>
      <w:r w:rsidR="004B0630">
        <w:t>, as opposed to that in the refined oil,</w:t>
      </w:r>
      <w:r w:rsidR="00861108">
        <w:t xml:space="preserve"> as a worst case scenario.</w:t>
      </w:r>
    </w:p>
    <w:p w14:paraId="33B4AEF9" w14:textId="6E2101C1" w:rsidR="00A145CE" w:rsidRDefault="00A145CE" w:rsidP="00936E3F">
      <w:pPr>
        <w:spacing w:after="240"/>
      </w:pPr>
      <w:r w:rsidRPr="000D2A19">
        <w:t>In conventional canola</w:t>
      </w:r>
      <w:r>
        <w:t xml:space="preserve"> oil</w:t>
      </w:r>
      <w:r w:rsidRPr="000D2A19">
        <w:t xml:space="preserve">, n-3 LC-PUFA </w:t>
      </w:r>
      <w:r>
        <w:t>are</w:t>
      </w:r>
      <w:r w:rsidRPr="000D2A19">
        <w:t xml:space="preserve"> negligible </w:t>
      </w:r>
      <w:r w:rsidR="002A3F8C">
        <w:t>(FSANZ</w:t>
      </w:r>
      <w:r>
        <w:t xml:space="preserve"> 2017</w:t>
      </w:r>
      <w:r w:rsidRPr="00135EE7">
        <w:t xml:space="preserve">) </w:t>
      </w:r>
      <w:r w:rsidRPr="000D2A19">
        <w:t>and there is no baseline contribution from conventional canola</w:t>
      </w:r>
      <w:r>
        <w:t xml:space="preserve"> oil</w:t>
      </w:r>
      <w:r w:rsidRPr="000D2A19">
        <w:t xml:space="preserve"> to n-3 LC-PUFA intake</w:t>
      </w:r>
      <w:r>
        <w:t>s</w:t>
      </w:r>
      <w:r w:rsidRPr="000D2A19">
        <w:t xml:space="preserve">. Therefore, this assessment </w:t>
      </w:r>
      <w:r>
        <w:t>has used</w:t>
      </w:r>
      <w:r w:rsidRPr="000D2A19">
        <w:t xml:space="preserve"> the n-3 LC-PUFA</w:t>
      </w:r>
      <w:r>
        <w:t xml:space="preserve"> concentration</w:t>
      </w:r>
      <w:r w:rsidRPr="000D2A19">
        <w:t xml:space="preserve"> of the </w:t>
      </w:r>
      <w:r>
        <w:t>LFBLFK</w:t>
      </w:r>
      <w:r w:rsidRPr="000D2A19">
        <w:t xml:space="preserve"> canola</w:t>
      </w:r>
      <w:r>
        <w:t xml:space="preserve"> oil</w:t>
      </w:r>
      <w:r w:rsidRPr="000D2A19">
        <w:t>, with no adjustments.</w:t>
      </w:r>
    </w:p>
    <w:p w14:paraId="5F6D7180" w14:textId="6DEF66DF" w:rsidR="001436A5" w:rsidRDefault="001436A5" w:rsidP="00936E3F">
      <w:pPr>
        <w:spacing w:after="240"/>
      </w:pPr>
      <w:r>
        <w:t>The concentrations used for all other foods in the baseline dietary intake assessment were from AUSNUT 2011-13, which was the nutrient composition dataset for the 2011-12 NNPAS.</w:t>
      </w:r>
    </w:p>
    <w:p w14:paraId="35A9592E" w14:textId="304F0D56" w:rsidR="00A145CE" w:rsidRPr="00633236" w:rsidRDefault="00756F8D" w:rsidP="00756F8D">
      <w:pPr>
        <w:pStyle w:val="Heading3"/>
      </w:pPr>
      <w:bookmarkStart w:id="51" w:name="_Toc483902153"/>
      <w:bookmarkStart w:id="52" w:name="_Toc484004330"/>
      <w:bookmarkStart w:id="53" w:name="_Toc487190310"/>
      <w:bookmarkStart w:id="54" w:name="_Toc497901450"/>
      <w:bookmarkStart w:id="55" w:name="_Toc102573433"/>
      <w:r>
        <w:t>3.2.5</w:t>
      </w:r>
      <w:r>
        <w:tab/>
      </w:r>
      <w:r w:rsidR="00A145CE" w:rsidRPr="00633236">
        <w:t>Scenarios</w:t>
      </w:r>
      <w:bookmarkEnd w:id="51"/>
      <w:bookmarkEnd w:id="52"/>
      <w:bookmarkEnd w:id="53"/>
      <w:bookmarkEnd w:id="54"/>
      <w:bookmarkEnd w:id="55"/>
    </w:p>
    <w:p w14:paraId="3E0B0B51" w14:textId="0F0A5084" w:rsidR="008024E6" w:rsidRPr="00936E3F" w:rsidRDefault="00A145CE" w:rsidP="00936E3F">
      <w:pPr>
        <w:spacing w:after="240"/>
        <w:rPr>
          <w:lang w:bidi="ar-SA"/>
        </w:rPr>
      </w:pPr>
      <w:r w:rsidRPr="00633236">
        <w:rPr>
          <w:lang w:bidi="ar-SA"/>
        </w:rPr>
        <w:t>To estimate the potential changes in n-3 LC-PUFA intake</w:t>
      </w:r>
      <w:r>
        <w:rPr>
          <w:lang w:bidi="ar-SA"/>
        </w:rPr>
        <w:t>s</w:t>
      </w:r>
      <w:r w:rsidRPr="00633236">
        <w:rPr>
          <w:lang w:bidi="ar-SA"/>
        </w:rPr>
        <w:t xml:space="preserve"> in Australia and New Zealand from the introduction of </w:t>
      </w:r>
      <w:r>
        <w:rPr>
          <w:lang w:bidi="ar-SA"/>
        </w:rPr>
        <w:t>LFBLFK</w:t>
      </w:r>
      <w:r w:rsidRPr="00633236">
        <w:rPr>
          <w:lang w:bidi="ar-SA"/>
        </w:rPr>
        <w:t xml:space="preserve"> canola</w:t>
      </w:r>
      <w:r w:rsidR="004B0630">
        <w:rPr>
          <w:lang w:bidi="ar-SA"/>
        </w:rPr>
        <w:t xml:space="preserve"> to the food supply</w:t>
      </w:r>
      <w:r w:rsidRPr="00633236">
        <w:rPr>
          <w:lang w:bidi="ar-SA"/>
        </w:rPr>
        <w:t xml:space="preserve">, FSANZ used two scenarios to model </w:t>
      </w:r>
      <w:r>
        <w:rPr>
          <w:lang w:bidi="ar-SA"/>
        </w:rPr>
        <w:t xml:space="preserve">potential </w:t>
      </w:r>
      <w:r w:rsidRPr="00633236">
        <w:rPr>
          <w:lang w:bidi="ar-SA"/>
        </w:rPr>
        <w:t>intakes additional to baseline</w:t>
      </w:r>
      <w:r>
        <w:rPr>
          <w:lang w:bidi="ar-SA"/>
        </w:rPr>
        <w:t xml:space="preserve">: </w:t>
      </w:r>
      <w:bookmarkStart w:id="56" w:name="_Toc483902154"/>
      <w:bookmarkStart w:id="57" w:name="_Ref483903997"/>
      <w:bookmarkStart w:id="58" w:name="_Toc484004331"/>
      <w:bookmarkStart w:id="59" w:name="_Toc487190311"/>
      <w:bookmarkStart w:id="60" w:name="_Toc497901451"/>
    </w:p>
    <w:p w14:paraId="38108A77" w14:textId="0EE09CEB" w:rsidR="008024E6" w:rsidRPr="00936E3F" w:rsidRDefault="00A145CE" w:rsidP="00936E3F">
      <w:pPr>
        <w:spacing w:after="240"/>
        <w:rPr>
          <w:lang w:bidi="ar-SA"/>
        </w:rPr>
      </w:pPr>
      <w:r w:rsidRPr="00E00BF2">
        <w:rPr>
          <w:b/>
          <w:u w:val="single"/>
          <w:lang w:bidi="ar-SA"/>
        </w:rPr>
        <w:t>Scenario 1</w:t>
      </w:r>
      <w:bookmarkEnd w:id="56"/>
      <w:bookmarkEnd w:id="57"/>
      <w:bookmarkEnd w:id="58"/>
      <w:r w:rsidRPr="00E00BF2">
        <w:rPr>
          <w:lang w:bidi="ar-SA"/>
        </w:rPr>
        <w:t xml:space="preserve">: </w:t>
      </w:r>
      <w:bookmarkEnd w:id="59"/>
      <w:bookmarkEnd w:id="60"/>
      <w:r w:rsidRPr="00E00BF2">
        <w:rPr>
          <w:lang w:bidi="ar-SA"/>
        </w:rPr>
        <w:t>All canola oil is replaced with</w:t>
      </w:r>
      <w:r>
        <w:rPr>
          <w:lang w:bidi="ar-SA"/>
        </w:rPr>
        <w:t xml:space="preserve"> </w:t>
      </w:r>
      <w:r w:rsidRPr="00E00BF2">
        <w:rPr>
          <w:lang w:bidi="ar-SA"/>
        </w:rPr>
        <w:t>LFBLFK canola oil</w:t>
      </w:r>
      <w:r>
        <w:rPr>
          <w:lang w:bidi="ar-SA"/>
        </w:rPr>
        <w:t xml:space="preserve">. This scenario </w:t>
      </w:r>
      <w:r w:rsidRPr="004C5B04">
        <w:rPr>
          <w:lang w:bidi="ar-SA"/>
        </w:rPr>
        <w:t xml:space="preserve">assumed that </w:t>
      </w:r>
      <w:r>
        <w:rPr>
          <w:lang w:bidi="ar-SA"/>
        </w:rPr>
        <w:t xml:space="preserve">refined oil from LFBLFK canola replaced </w:t>
      </w:r>
      <w:r w:rsidRPr="004C5B04">
        <w:rPr>
          <w:lang w:bidi="ar-SA"/>
        </w:rPr>
        <w:t xml:space="preserve">all </w:t>
      </w:r>
      <w:r>
        <w:rPr>
          <w:lang w:bidi="ar-SA"/>
        </w:rPr>
        <w:t xml:space="preserve">(100%) </w:t>
      </w:r>
      <w:r w:rsidRPr="004C5B04">
        <w:rPr>
          <w:lang w:bidi="ar-SA"/>
        </w:rPr>
        <w:t>conventional canola oil currently in the food supplies of Australia and New Zealand, including canola oils used as an</w:t>
      </w:r>
      <w:r w:rsidRPr="00633236">
        <w:rPr>
          <w:lang w:bidi="ar-SA"/>
        </w:rPr>
        <w:t xml:space="preserve"> ingredient </w:t>
      </w:r>
      <w:r>
        <w:rPr>
          <w:lang w:bidi="ar-SA"/>
        </w:rPr>
        <w:t>in mixed foods</w:t>
      </w:r>
      <w:r w:rsidRPr="00633236">
        <w:rPr>
          <w:lang w:bidi="ar-SA"/>
        </w:rPr>
        <w:t>.</w:t>
      </w:r>
      <w:bookmarkStart w:id="61" w:name="_Toc483902155"/>
      <w:bookmarkStart w:id="62" w:name="_Ref483904008"/>
      <w:bookmarkStart w:id="63" w:name="_Toc484004332"/>
      <w:bookmarkStart w:id="64" w:name="_Toc487190312"/>
      <w:bookmarkStart w:id="65" w:name="_Toc497901452"/>
    </w:p>
    <w:p w14:paraId="604B9088" w14:textId="1749D442" w:rsidR="008024E6" w:rsidRDefault="00A145CE" w:rsidP="00936E3F">
      <w:pPr>
        <w:spacing w:after="240"/>
        <w:rPr>
          <w:lang w:bidi="ar-SA"/>
        </w:rPr>
      </w:pPr>
      <w:r w:rsidRPr="00E00BF2">
        <w:rPr>
          <w:b/>
          <w:u w:val="single"/>
          <w:lang w:bidi="ar-SA"/>
        </w:rPr>
        <w:t>Scenario 2</w:t>
      </w:r>
      <w:bookmarkEnd w:id="61"/>
      <w:bookmarkEnd w:id="62"/>
      <w:bookmarkEnd w:id="63"/>
      <w:r w:rsidRPr="00633236">
        <w:rPr>
          <w:lang w:bidi="ar-SA"/>
        </w:rPr>
        <w:t xml:space="preserve">: </w:t>
      </w:r>
      <w:r>
        <w:rPr>
          <w:lang w:bidi="ar-SA"/>
        </w:rPr>
        <w:t xml:space="preserve">All canola oil </w:t>
      </w:r>
      <w:r w:rsidRPr="00633236">
        <w:rPr>
          <w:lang w:bidi="ar-SA"/>
        </w:rPr>
        <w:t xml:space="preserve">+ 30% unspecified </w:t>
      </w:r>
      <w:r>
        <w:rPr>
          <w:lang w:bidi="ar-SA"/>
        </w:rPr>
        <w:t xml:space="preserve">vegetable </w:t>
      </w:r>
      <w:r w:rsidRPr="00633236">
        <w:rPr>
          <w:lang w:bidi="ar-SA"/>
        </w:rPr>
        <w:t>oils</w:t>
      </w:r>
      <w:bookmarkEnd w:id="64"/>
      <w:bookmarkEnd w:id="65"/>
      <w:r>
        <w:rPr>
          <w:lang w:bidi="ar-SA"/>
        </w:rPr>
        <w:t xml:space="preserve"> is replaced by LFBLFK</w:t>
      </w:r>
      <w:r w:rsidRPr="00633236">
        <w:rPr>
          <w:lang w:bidi="ar-SA"/>
        </w:rPr>
        <w:t xml:space="preserve"> canola oil</w:t>
      </w:r>
      <w:r>
        <w:rPr>
          <w:lang w:bidi="ar-SA"/>
        </w:rPr>
        <w:t xml:space="preserve">. This </w:t>
      </w:r>
      <w:r w:rsidRPr="00633236">
        <w:rPr>
          <w:lang w:eastAsia="en-AU" w:bidi="ar-SA"/>
        </w:rPr>
        <w:t xml:space="preserve">assumed </w:t>
      </w:r>
      <w:r>
        <w:rPr>
          <w:lang w:bidi="ar-SA"/>
        </w:rPr>
        <w:t xml:space="preserve">refined oil from LFBLFK canola </w:t>
      </w:r>
      <w:r w:rsidRPr="00633236">
        <w:rPr>
          <w:lang w:eastAsia="en-AU" w:bidi="ar-SA"/>
        </w:rPr>
        <w:t>replace</w:t>
      </w:r>
      <w:r>
        <w:rPr>
          <w:lang w:eastAsia="en-AU" w:bidi="ar-SA"/>
        </w:rPr>
        <w:t>d</w:t>
      </w:r>
      <w:r w:rsidRPr="00633236">
        <w:rPr>
          <w:lang w:eastAsia="en-AU" w:bidi="ar-SA"/>
        </w:rPr>
        <w:t xml:space="preserve"> all (100%) of conventional canola oil and 30% of any </w:t>
      </w:r>
      <w:r w:rsidRPr="00633236">
        <w:rPr>
          <w:i/>
          <w:lang w:eastAsia="en-AU"/>
        </w:rPr>
        <w:t>non-specified oil</w:t>
      </w:r>
      <w:r w:rsidRPr="00633236">
        <w:rPr>
          <w:lang w:eastAsia="en-AU" w:bidi="ar-SA"/>
        </w:rPr>
        <w:t xml:space="preserve"> that consumers reported eating in the national nutrition surveys. Non-specified oil is vegetable oil reported as consumed in a nutrition survey without any specific information about its source. Any vegetable oils (other than canola) that are specifically identified (e.g. olive oil, sunflower oil) are not included in the consumption</w:t>
      </w:r>
      <w:r w:rsidR="004B0630">
        <w:rPr>
          <w:lang w:eastAsia="en-AU" w:bidi="ar-SA"/>
        </w:rPr>
        <w:t xml:space="preserve"> data used for this part of the assessment</w:t>
      </w:r>
      <w:r w:rsidRPr="00633236">
        <w:rPr>
          <w:lang w:eastAsia="en-AU" w:bidi="ar-SA"/>
        </w:rPr>
        <w:t xml:space="preserve">. </w:t>
      </w:r>
      <w:r w:rsidRPr="00633236" w:rsidDel="0004580D">
        <w:rPr>
          <w:lang w:eastAsia="en-AU" w:bidi="ar-SA"/>
        </w:rPr>
        <w:t xml:space="preserve">The 30% </w:t>
      </w:r>
      <w:r w:rsidR="00E16EFD">
        <w:rPr>
          <w:lang w:eastAsia="en-AU" w:bidi="ar-SA"/>
        </w:rPr>
        <w:t>of non-specified oils used for</w:t>
      </w:r>
      <w:r w:rsidR="004B0630">
        <w:rPr>
          <w:lang w:eastAsia="en-AU" w:bidi="ar-SA"/>
        </w:rPr>
        <w:t xml:space="preserve"> the calculation</w:t>
      </w:r>
      <w:r w:rsidR="004B0630" w:rsidRPr="00633236" w:rsidDel="0004580D">
        <w:rPr>
          <w:lang w:eastAsia="en-AU" w:bidi="ar-SA"/>
        </w:rPr>
        <w:t xml:space="preserve"> </w:t>
      </w:r>
      <w:r w:rsidRPr="00633236" w:rsidDel="0004580D">
        <w:rPr>
          <w:lang w:eastAsia="en-AU" w:bidi="ar-SA"/>
        </w:rPr>
        <w:t>reflects the proportion</w:t>
      </w:r>
      <w:r>
        <w:rPr>
          <w:lang w:eastAsia="en-AU" w:bidi="ar-SA"/>
        </w:rPr>
        <w:t xml:space="preserve"> that canola oil from all</w:t>
      </w:r>
      <w:r w:rsidRPr="00633236" w:rsidDel="0004580D">
        <w:rPr>
          <w:lang w:eastAsia="en-AU" w:bidi="ar-SA"/>
        </w:rPr>
        <w:t xml:space="preserve"> </w:t>
      </w:r>
      <w:r w:rsidRPr="00633236">
        <w:rPr>
          <w:lang w:eastAsia="en-AU" w:bidi="ar-SA"/>
        </w:rPr>
        <w:t xml:space="preserve">identified </w:t>
      </w:r>
      <w:r w:rsidRPr="00633236" w:rsidDel="0004580D">
        <w:rPr>
          <w:lang w:eastAsia="en-AU" w:bidi="ar-SA"/>
        </w:rPr>
        <w:t>oils reported as consumed in the 2011-12 NN</w:t>
      </w:r>
      <w:r w:rsidRPr="00633236" w:rsidDel="00A72D9C">
        <w:rPr>
          <w:lang w:eastAsia="en-AU" w:bidi="ar-SA"/>
        </w:rPr>
        <w:t>A</w:t>
      </w:r>
      <w:r w:rsidRPr="00633236" w:rsidDel="0004580D">
        <w:rPr>
          <w:lang w:eastAsia="en-AU" w:bidi="ar-SA"/>
        </w:rPr>
        <w:t>PS</w:t>
      </w:r>
      <w:r w:rsidRPr="00633236">
        <w:rPr>
          <w:lang w:eastAsia="en-AU" w:bidi="ar-SA"/>
        </w:rPr>
        <w:t>.</w:t>
      </w:r>
    </w:p>
    <w:p w14:paraId="7050984A" w14:textId="062381A2" w:rsidR="008024E6" w:rsidRDefault="00A145CE" w:rsidP="00936E3F">
      <w:pPr>
        <w:spacing w:after="240"/>
        <w:rPr>
          <w:lang w:bidi="ar-SA"/>
        </w:rPr>
      </w:pPr>
      <w:r w:rsidRPr="00572DCD">
        <w:rPr>
          <w:lang w:bidi="ar-SA"/>
        </w:rPr>
        <w:t>Both scenarios include</w:t>
      </w:r>
      <w:r>
        <w:rPr>
          <w:lang w:bidi="ar-SA"/>
        </w:rPr>
        <w:t>d</w:t>
      </w:r>
      <w:r w:rsidRPr="00572DCD">
        <w:rPr>
          <w:lang w:bidi="ar-SA"/>
        </w:rPr>
        <w:t xml:space="preserve"> estimated consumption of oil on a raw commodity basis, i.e. they included oil </w:t>
      </w:r>
      <w:r>
        <w:rPr>
          <w:lang w:bidi="ar-SA"/>
        </w:rPr>
        <w:t>consumed</w:t>
      </w:r>
      <w:r w:rsidRPr="00572DCD">
        <w:rPr>
          <w:lang w:bidi="ar-SA"/>
        </w:rPr>
        <w:t xml:space="preserve"> when used on its own or as an ingredient in mixed foods or dishes (e.g. in salad dressing, steak fried in oil, fried rice etc.) based on FSANZ’s recipe data used in the Harvest Raw Commodity model. </w:t>
      </w:r>
      <w:r w:rsidR="003F0666">
        <w:t xml:space="preserve">If approved, food derived from </w:t>
      </w:r>
      <w:r w:rsidR="003F0666">
        <w:rPr>
          <w:lang w:bidi="ar-SA"/>
        </w:rPr>
        <w:t>canola</w:t>
      </w:r>
      <w:r w:rsidR="003F0666" w:rsidRPr="00F210D7">
        <w:rPr>
          <w:lang w:bidi="ar-SA"/>
        </w:rPr>
        <w:t xml:space="preserve"> line </w:t>
      </w:r>
      <w:r w:rsidR="003F0666" w:rsidRPr="00F27F51">
        <w:rPr>
          <w:lang w:bidi="ar-SA"/>
        </w:rPr>
        <w:t>LBFLFK</w:t>
      </w:r>
      <w:r w:rsidR="003F0666">
        <w:t xml:space="preserve"> may enter the food supply via </w:t>
      </w:r>
      <w:r w:rsidR="00C36AD1">
        <w:rPr>
          <w:rFonts w:cs="Arial"/>
          <w:color w:val="000000" w:themeColor="text1"/>
          <w:szCs w:val="22"/>
        </w:rPr>
        <w:t>a range of canola based ingredients</w:t>
      </w:r>
      <w:r w:rsidR="003F0666">
        <w:rPr>
          <w:rFonts w:cs="Arial"/>
          <w:color w:val="000000" w:themeColor="text1"/>
          <w:szCs w:val="22"/>
        </w:rPr>
        <w:t xml:space="preserve">. </w:t>
      </w:r>
      <w:r w:rsidRPr="00E9375F">
        <w:rPr>
          <w:i/>
          <w:lang w:bidi="ar-SA"/>
        </w:rPr>
        <w:t>Canola oil, refined</w:t>
      </w:r>
      <w:r w:rsidRPr="00572DCD">
        <w:rPr>
          <w:lang w:bidi="ar-SA"/>
        </w:rPr>
        <w:t xml:space="preserve"> was the commodity used in this assessment as no consumption of other canola products (i.e. canola meal</w:t>
      </w:r>
      <w:r w:rsidR="003F0666">
        <w:rPr>
          <w:lang w:bidi="ar-SA"/>
        </w:rPr>
        <w:t>, protein isolate</w:t>
      </w:r>
      <w:r w:rsidRPr="00572DCD">
        <w:rPr>
          <w:lang w:bidi="ar-SA"/>
        </w:rPr>
        <w:t xml:space="preserve"> or canola seed) was reported in the </w:t>
      </w:r>
      <w:r>
        <w:rPr>
          <w:lang w:bidi="ar-SA"/>
        </w:rPr>
        <w:t xml:space="preserve">national </w:t>
      </w:r>
      <w:r w:rsidRPr="00572DCD">
        <w:rPr>
          <w:lang w:bidi="ar-SA"/>
        </w:rPr>
        <w:t>nutrition surveys for Australia and New Zealand.</w:t>
      </w:r>
    </w:p>
    <w:p w14:paraId="4F99F732" w14:textId="51EFBE28" w:rsidR="00A145CE" w:rsidRDefault="00A145CE" w:rsidP="00936E3F">
      <w:pPr>
        <w:spacing w:after="240"/>
        <w:rPr>
          <w:lang w:bidi="ar-SA"/>
        </w:rPr>
      </w:pPr>
      <w:r w:rsidRPr="00572DCD">
        <w:rPr>
          <w:lang w:bidi="ar-SA"/>
        </w:rPr>
        <w:t xml:space="preserve">The scenarios included oil consumption values for Australian and New Zealand populations combined with </w:t>
      </w:r>
      <w:r>
        <w:rPr>
          <w:lang w:bidi="ar-SA"/>
        </w:rPr>
        <w:t>the n-3 LC-PUFA</w:t>
      </w:r>
      <w:r w:rsidRPr="00572DCD">
        <w:rPr>
          <w:lang w:bidi="ar-SA"/>
        </w:rPr>
        <w:t xml:space="preserve"> concentrations as </w:t>
      </w:r>
      <w:r w:rsidR="00E16EFD">
        <w:rPr>
          <w:lang w:bidi="ar-SA"/>
        </w:rPr>
        <w:t>reported</w:t>
      </w:r>
      <w:r w:rsidR="00E16EFD" w:rsidRPr="00572DCD">
        <w:rPr>
          <w:lang w:bidi="ar-SA"/>
        </w:rPr>
        <w:t xml:space="preserve"> </w:t>
      </w:r>
      <w:r w:rsidRPr="00572DCD">
        <w:rPr>
          <w:lang w:bidi="ar-SA"/>
        </w:rPr>
        <w:t xml:space="preserve">by the applicant for oil derived from </w:t>
      </w:r>
      <w:r>
        <w:rPr>
          <w:lang w:bidi="ar-SA"/>
        </w:rPr>
        <w:t>LFBLFK</w:t>
      </w:r>
      <w:r w:rsidRPr="00572DCD">
        <w:rPr>
          <w:lang w:bidi="ar-SA"/>
        </w:rPr>
        <w:t xml:space="preserve"> canola to estimate additional n-3 LC-PUFA intakes from </w:t>
      </w:r>
      <w:r>
        <w:rPr>
          <w:lang w:bidi="ar-SA"/>
        </w:rPr>
        <w:t>LFBLFK</w:t>
      </w:r>
      <w:r w:rsidRPr="00572DCD">
        <w:rPr>
          <w:lang w:bidi="ar-SA"/>
        </w:rPr>
        <w:t xml:space="preserve"> canola. </w:t>
      </w:r>
      <w:r w:rsidR="00E16EFD">
        <w:rPr>
          <w:lang w:bidi="ar-SA"/>
        </w:rPr>
        <w:t xml:space="preserve">The additional intakes of </w:t>
      </w:r>
      <w:r w:rsidR="00E16EFD" w:rsidRPr="00572DCD">
        <w:rPr>
          <w:lang w:bidi="ar-SA"/>
        </w:rPr>
        <w:t>n-3 LC-PUFA</w:t>
      </w:r>
      <w:r w:rsidR="00E16EFD">
        <w:rPr>
          <w:lang w:bidi="ar-SA"/>
        </w:rPr>
        <w:t xml:space="preserve"> were added deterministically to the usual </w:t>
      </w:r>
      <w:r w:rsidR="005E4DA7">
        <w:rPr>
          <w:lang w:bidi="ar-SA"/>
        </w:rPr>
        <w:t xml:space="preserve">mean </w:t>
      </w:r>
      <w:r w:rsidR="00E16EFD">
        <w:rPr>
          <w:lang w:bidi="ar-SA"/>
        </w:rPr>
        <w:t xml:space="preserve">(baseline) intakes of </w:t>
      </w:r>
      <w:r w:rsidR="00E16EFD" w:rsidRPr="00572DCD">
        <w:rPr>
          <w:lang w:bidi="ar-SA"/>
        </w:rPr>
        <w:t>n-3 LC-PUFA</w:t>
      </w:r>
      <w:r w:rsidR="00E16EFD">
        <w:rPr>
          <w:lang w:bidi="ar-SA"/>
        </w:rPr>
        <w:t>.</w:t>
      </w:r>
    </w:p>
    <w:p w14:paraId="60AD2AD4" w14:textId="7138AE86" w:rsidR="00A145CE" w:rsidRPr="00633236" w:rsidRDefault="00756F8D" w:rsidP="00756F8D">
      <w:pPr>
        <w:pStyle w:val="Heading3"/>
      </w:pPr>
      <w:bookmarkStart w:id="66" w:name="_Toc269201841"/>
      <w:bookmarkStart w:id="67" w:name="_Toc360028619"/>
      <w:bookmarkStart w:id="68" w:name="_Toc415041927"/>
      <w:bookmarkStart w:id="69" w:name="_Toc483902158"/>
      <w:bookmarkStart w:id="70" w:name="_Toc484004335"/>
      <w:bookmarkStart w:id="71" w:name="_Toc487190315"/>
      <w:bookmarkStart w:id="72" w:name="_Toc497901455"/>
      <w:bookmarkStart w:id="73" w:name="_Toc102573434"/>
      <w:bookmarkEnd w:id="50"/>
      <w:r>
        <w:lastRenderedPageBreak/>
        <w:t>3.2.6</w:t>
      </w:r>
      <w:r>
        <w:tab/>
      </w:r>
      <w:r w:rsidR="00A145CE" w:rsidRPr="00633236">
        <w:t>Assumptions and limitations of the dietary intake assessment</w:t>
      </w:r>
      <w:bookmarkEnd w:id="66"/>
      <w:bookmarkEnd w:id="67"/>
      <w:bookmarkEnd w:id="68"/>
      <w:bookmarkEnd w:id="69"/>
      <w:bookmarkEnd w:id="70"/>
      <w:bookmarkEnd w:id="71"/>
      <w:bookmarkEnd w:id="72"/>
      <w:bookmarkEnd w:id="73"/>
    </w:p>
    <w:p w14:paraId="1453BF1D" w14:textId="10EFDE8C" w:rsidR="00E16EFD" w:rsidRPr="00633236" w:rsidRDefault="00A145CE" w:rsidP="00D26E0D">
      <w:pPr>
        <w:keepLines/>
        <w:spacing w:after="240"/>
      </w:pPr>
      <w:r w:rsidRPr="00633236">
        <w:t>The aim of the dietary intake assessment was to make the best estimate of dietary n</w:t>
      </w:r>
      <w:r>
        <w:noBreakHyphen/>
      </w:r>
      <w:r w:rsidRPr="00633236">
        <w:t>3 LC</w:t>
      </w:r>
      <w:r>
        <w:noBreakHyphen/>
      </w:r>
      <w:r w:rsidRPr="00633236">
        <w:t>PUFA intake</w:t>
      </w:r>
      <w:r w:rsidR="00E16EFD">
        <w:t xml:space="preserve"> as possible</w:t>
      </w:r>
      <w:r w:rsidRPr="00633236">
        <w:t xml:space="preserve">. Where significant uncertainties in the data exist, FSANZ uses conservative assumptions to ensure that the estimated dietary intake is not an underestimate (for example, </w:t>
      </w:r>
      <w:r w:rsidRPr="00633236">
        <w:rPr>
          <w:szCs w:val="22"/>
        </w:rPr>
        <w:t>assuming that the population consumes the mean consumer amount of canola oil over time over-estimates potential population increases in n-3 LC-PUFA intakes)</w:t>
      </w:r>
      <w:r w:rsidRPr="00633236">
        <w:t>.</w:t>
      </w:r>
    </w:p>
    <w:p w14:paraId="32F6BEE4" w14:textId="77777777" w:rsidR="00A145CE" w:rsidRPr="00633236" w:rsidRDefault="00A145CE" w:rsidP="00A145CE">
      <w:r w:rsidRPr="00633236">
        <w:t>Assumptions made in the dietary intake assessment included:</w:t>
      </w:r>
    </w:p>
    <w:p w14:paraId="3F06032D" w14:textId="0D34FD84" w:rsidR="00A145CE" w:rsidRPr="00633236" w:rsidRDefault="00912332" w:rsidP="00A145CE">
      <w:pPr>
        <w:pStyle w:val="FSBullet1"/>
        <w:spacing w:before="100" w:beforeAutospacing="1" w:after="60"/>
      </w:pPr>
      <w:r>
        <w:t>w</w:t>
      </w:r>
      <w:r w:rsidR="00A145CE" w:rsidRPr="00633236">
        <w:t xml:space="preserve">here estimates of dietary intake </w:t>
      </w:r>
      <w:r w:rsidR="00A145CE">
        <w:t>of EPA, DPA and</w:t>
      </w:r>
      <w:r w:rsidR="00A145CE" w:rsidRPr="00633236">
        <w:t xml:space="preserve"> DHA were not available, estimates of n-3 LC-PUFA are sufficient to identify any associated risks to the population from increased DHA intakes from </w:t>
      </w:r>
      <w:r w:rsidR="00A145CE" w:rsidRPr="00E00BF2">
        <w:t xml:space="preserve">LFBLFK </w:t>
      </w:r>
      <w:r w:rsidR="00A145CE" w:rsidRPr="00633236">
        <w:t>canola</w:t>
      </w:r>
      <w:r>
        <w:t>;</w:t>
      </w:r>
    </w:p>
    <w:p w14:paraId="64B4A0B9" w14:textId="565F42DB" w:rsidR="00A145CE" w:rsidRPr="00633236" w:rsidRDefault="00912332" w:rsidP="00A145CE">
      <w:pPr>
        <w:pStyle w:val="FSBullet1"/>
        <w:spacing w:before="100" w:beforeAutospacing="1" w:after="60"/>
      </w:pPr>
      <w:r>
        <w:t>t</w:t>
      </w:r>
      <w:r w:rsidR="00A145CE">
        <w:t>he usual intakes of n</w:t>
      </w:r>
      <w:r w:rsidR="00A145CE" w:rsidRPr="00633236">
        <w:t xml:space="preserve">-3 LC-PUFA published by the ABS </w:t>
      </w:r>
      <w:r w:rsidR="00A15D6F">
        <w:t xml:space="preserve">for Australia </w:t>
      </w:r>
      <w:r w:rsidR="00A145CE" w:rsidRPr="00633236">
        <w:t>reflect current intakes</w:t>
      </w:r>
      <w:r w:rsidR="00A145CE">
        <w:t xml:space="preserve"> and these are similar in both Australia and New Zealand</w:t>
      </w:r>
      <w:r>
        <w:t>;</w:t>
      </w:r>
    </w:p>
    <w:p w14:paraId="0086CF13" w14:textId="7841C58D" w:rsidR="00A145CE" w:rsidRPr="00633236" w:rsidRDefault="00912332" w:rsidP="00A145CE">
      <w:pPr>
        <w:pStyle w:val="FSBullet1"/>
        <w:spacing w:before="100" w:beforeAutospacing="1" w:after="60"/>
      </w:pPr>
      <w:r>
        <w:t>t</w:t>
      </w:r>
      <w:r w:rsidR="00A145CE">
        <w:t xml:space="preserve">he intake of </w:t>
      </w:r>
      <w:r w:rsidR="00A145CE" w:rsidRPr="00633236">
        <w:t xml:space="preserve">n-3 LC-PUFA </w:t>
      </w:r>
      <w:r w:rsidR="00A145CE">
        <w:t>is</w:t>
      </w:r>
      <w:r w:rsidR="00A145CE" w:rsidRPr="00633236">
        <w:t xml:space="preserve"> from food only; n-3 LC-PUFA intake from complementary or other medicines (e.g. dietary supplements) is not included in the usual intakes</w:t>
      </w:r>
      <w:r>
        <w:t>;</w:t>
      </w:r>
    </w:p>
    <w:p w14:paraId="4EC2B4AA" w14:textId="06AB3EB0" w:rsidR="00A145CE" w:rsidRPr="00633236" w:rsidRDefault="00912332" w:rsidP="00A145CE">
      <w:pPr>
        <w:pStyle w:val="FSBullet1"/>
        <w:spacing w:before="100" w:beforeAutospacing="1" w:after="60"/>
        <w:ind w:left="504"/>
      </w:pPr>
      <w:r>
        <w:t>t</w:t>
      </w:r>
      <w:r w:rsidR="00A145CE" w:rsidRPr="00633236">
        <w:t xml:space="preserve">he dietary intake assessment used the concentration of n-3 LC-PUFA in </w:t>
      </w:r>
      <w:r w:rsidR="00A145CE">
        <w:t>LFBLFK</w:t>
      </w:r>
      <w:r w:rsidR="00A145CE" w:rsidRPr="00633236">
        <w:t xml:space="preserve"> canola provided by the </w:t>
      </w:r>
      <w:r>
        <w:t>a</w:t>
      </w:r>
      <w:r w:rsidR="00A145CE" w:rsidRPr="00633236">
        <w:t xml:space="preserve">pplicant. The variability and uncertainty around this concentration </w:t>
      </w:r>
      <w:r w:rsidR="00A15D6F">
        <w:t>is</w:t>
      </w:r>
      <w:r w:rsidR="00A15D6F" w:rsidRPr="00633236">
        <w:t xml:space="preserve"> </w:t>
      </w:r>
      <w:r w:rsidR="00A145CE" w:rsidRPr="00633236">
        <w:t>unknown</w:t>
      </w:r>
      <w:r>
        <w:t>;</w:t>
      </w:r>
    </w:p>
    <w:p w14:paraId="1E99B068" w14:textId="1785D1E7" w:rsidR="00A145CE" w:rsidRPr="00633236" w:rsidRDefault="00912332" w:rsidP="00A145CE">
      <w:pPr>
        <w:pStyle w:val="FSBullet1"/>
        <w:spacing w:before="100" w:beforeAutospacing="1" w:after="60"/>
      </w:pPr>
      <w:r>
        <w:t>a</w:t>
      </w:r>
      <w:r w:rsidR="00A145CE" w:rsidRPr="00633236">
        <w:t xml:space="preserve">ll conventional canola oil reported as consumed is replaced by </w:t>
      </w:r>
      <w:r w:rsidR="00A145CE" w:rsidRPr="00E00BF2">
        <w:t xml:space="preserve">LFBLFK </w:t>
      </w:r>
      <w:r w:rsidR="00A145CE" w:rsidRPr="00633236">
        <w:t>canola oil (</w:t>
      </w:r>
      <w:r w:rsidR="006B0EFE" w:rsidRPr="00AB0671">
        <w:rPr>
          <w:b/>
          <w:bCs/>
        </w:rPr>
        <w:t>Scenario 1</w:t>
      </w:r>
      <w:r w:rsidR="00A145CE" w:rsidRPr="00633236">
        <w:t xml:space="preserve">– 100% </w:t>
      </w:r>
      <w:r w:rsidR="00A145CE" w:rsidRPr="00E00BF2">
        <w:t xml:space="preserve">LFBLFK </w:t>
      </w:r>
      <w:r w:rsidR="00A145CE" w:rsidRPr="00633236">
        <w:t>canola oil)</w:t>
      </w:r>
      <w:r>
        <w:t>;</w:t>
      </w:r>
    </w:p>
    <w:p w14:paraId="09115223" w14:textId="347C912F" w:rsidR="00A145CE" w:rsidRPr="00633236" w:rsidRDefault="00912332" w:rsidP="00A145CE">
      <w:pPr>
        <w:pStyle w:val="FSBullet1"/>
        <w:spacing w:before="100" w:beforeAutospacing="1" w:after="60"/>
      </w:pPr>
      <w:r>
        <w:t>a</w:t>
      </w:r>
      <w:r w:rsidR="00A145CE" w:rsidRPr="00633236">
        <w:t xml:space="preserve"> </w:t>
      </w:r>
      <w:r w:rsidR="00A15D6F">
        <w:t>proportion</w:t>
      </w:r>
      <w:r w:rsidR="00A145CE" w:rsidRPr="00633236">
        <w:t xml:space="preserve"> of 30% </w:t>
      </w:r>
      <w:r w:rsidR="00A15D6F">
        <w:t xml:space="preserve">is used to </w:t>
      </w:r>
      <w:r w:rsidR="00A145CE" w:rsidRPr="00633236">
        <w:t>reflect the share of canola oil in non-specified oils currently in the marketplace (</w:t>
      </w:r>
      <w:r w:rsidR="006B0EFE" w:rsidRPr="00AB0671">
        <w:rPr>
          <w:b/>
          <w:bCs/>
        </w:rPr>
        <w:t>Scenario 2</w:t>
      </w:r>
      <w:r w:rsidR="00A145CE" w:rsidRPr="00633236">
        <w:t xml:space="preserve">– 100% </w:t>
      </w:r>
      <w:r w:rsidR="00A145CE" w:rsidRPr="00E00BF2">
        <w:t xml:space="preserve">LFBLFK </w:t>
      </w:r>
      <w:r w:rsidR="00A145CE" w:rsidRPr="00633236">
        <w:t>canola oil + 30% unspecified oil)</w:t>
      </w:r>
      <w:r>
        <w:t>;</w:t>
      </w:r>
    </w:p>
    <w:p w14:paraId="7888BFB6" w14:textId="61AA5E7B" w:rsidR="00A145CE" w:rsidRPr="00EF6D3D" w:rsidRDefault="00912332" w:rsidP="005D5D89">
      <w:pPr>
        <w:pStyle w:val="FSBullet1"/>
        <w:spacing w:before="100" w:beforeAutospacing="1" w:after="60"/>
      </w:pPr>
      <w:r>
        <w:t>t</w:t>
      </w:r>
      <w:r w:rsidR="00A145CE" w:rsidRPr="00633236">
        <w:t xml:space="preserve">he </w:t>
      </w:r>
      <w:r w:rsidR="00F906AA">
        <w:t>FA</w:t>
      </w:r>
      <w:r w:rsidR="00A145CE" w:rsidRPr="00633236">
        <w:t xml:space="preserve"> profile of </w:t>
      </w:r>
      <w:r w:rsidR="00A145CE">
        <w:t>LFBLFK</w:t>
      </w:r>
      <w:r w:rsidR="00A145CE" w:rsidRPr="00633236">
        <w:t xml:space="preserve"> canola in the marketplace matches the </w:t>
      </w:r>
      <w:r>
        <w:t>a</w:t>
      </w:r>
      <w:r w:rsidR="00A145CE" w:rsidRPr="00633236">
        <w:t>pplicant</w:t>
      </w:r>
      <w:r w:rsidR="00A145CE">
        <w:t>’</w:t>
      </w:r>
      <w:r w:rsidR="00A145CE" w:rsidRPr="00633236">
        <w:t>s data</w:t>
      </w:r>
      <w:r>
        <w:t>;</w:t>
      </w:r>
    </w:p>
    <w:p w14:paraId="312F8F65" w14:textId="02F35352" w:rsidR="00A145CE" w:rsidRPr="00EE13AE" w:rsidRDefault="00912332" w:rsidP="005D5D89">
      <w:pPr>
        <w:pStyle w:val="FSBullet1"/>
        <w:spacing w:before="100" w:beforeAutospacing="1" w:after="60"/>
      </w:pPr>
      <w:r>
        <w:t>c</w:t>
      </w:r>
      <w:r w:rsidR="00A145CE">
        <w:t>anola meal and canola seed are not consumed by Australian and New Zealand populations.</w:t>
      </w:r>
    </w:p>
    <w:p w14:paraId="089CED49" w14:textId="316CE3A1" w:rsidR="00A145CE" w:rsidRPr="00633236" w:rsidRDefault="00A145CE" w:rsidP="005D5D89">
      <w:pPr>
        <w:spacing w:before="240"/>
        <w:rPr>
          <w:szCs w:val="22"/>
        </w:rPr>
      </w:pPr>
      <w:r w:rsidRPr="00633236">
        <w:t xml:space="preserve">In addition to the specific assumptions made in relation to this dietary intake assessment, there are a number of limitations associated with the nutrition surveys per se. A discussion of these limitations is included in Section 6 of the </w:t>
      </w:r>
      <w:r w:rsidRPr="00633236">
        <w:rPr>
          <w:i/>
          <w:szCs w:val="22"/>
        </w:rPr>
        <w:t>Principles and Practices of Dietary Exposure Assessment for Food Regulatory Purposes</w:t>
      </w:r>
      <w:r w:rsidRPr="00633236">
        <w:rPr>
          <w:szCs w:val="22"/>
        </w:rPr>
        <w:t xml:space="preserve"> </w:t>
      </w:r>
      <w:r w:rsidRPr="00135EE7">
        <w:rPr>
          <w:szCs w:val="22"/>
        </w:rPr>
        <w:t>(FSANZ 2009</w:t>
      </w:r>
      <w:r w:rsidR="002A3F8C">
        <w:rPr>
          <w:szCs w:val="22"/>
        </w:rPr>
        <w:t>b</w:t>
      </w:r>
      <w:r w:rsidRPr="00135EE7">
        <w:rPr>
          <w:szCs w:val="22"/>
        </w:rPr>
        <w:t>).</w:t>
      </w:r>
    </w:p>
    <w:p w14:paraId="0747C9F6" w14:textId="336F20C9" w:rsidR="00A145CE" w:rsidRDefault="00756F8D" w:rsidP="00756F8D">
      <w:pPr>
        <w:pStyle w:val="Heading2"/>
        <w:spacing w:before="120" w:after="120"/>
      </w:pPr>
      <w:bookmarkStart w:id="74" w:name="_Toc360028620"/>
      <w:bookmarkStart w:id="75" w:name="_Toc415041928"/>
      <w:bookmarkStart w:id="76" w:name="_Toc483902159"/>
      <w:bookmarkStart w:id="77" w:name="_Toc484004336"/>
      <w:bookmarkStart w:id="78" w:name="_Toc487190316"/>
      <w:bookmarkStart w:id="79" w:name="_Toc497901456"/>
      <w:bookmarkStart w:id="80" w:name="_Toc102573435"/>
      <w:bookmarkStart w:id="81" w:name="_Toc269201842"/>
      <w:r>
        <w:t>3.3</w:t>
      </w:r>
      <w:r>
        <w:tab/>
      </w:r>
      <w:r w:rsidR="00A145CE" w:rsidRPr="00633236">
        <w:t>Dietary intake estimate results</w:t>
      </w:r>
      <w:bookmarkEnd w:id="74"/>
      <w:bookmarkEnd w:id="75"/>
      <w:bookmarkEnd w:id="76"/>
      <w:bookmarkEnd w:id="77"/>
      <w:bookmarkEnd w:id="78"/>
      <w:bookmarkEnd w:id="79"/>
      <w:bookmarkEnd w:id="80"/>
    </w:p>
    <w:p w14:paraId="681B9DEF" w14:textId="7B686A67" w:rsidR="00A145CE" w:rsidRPr="00933C8E" w:rsidRDefault="00A145CE" w:rsidP="00A145CE">
      <w:r>
        <w:t>In this assessment, dietary intakes have been estimated for ‘consumer</w:t>
      </w:r>
      <w:r w:rsidRPr="00933C8E">
        <w:t>s only’ (</w:t>
      </w:r>
      <w:r>
        <w:t xml:space="preserve">i.e. </w:t>
      </w:r>
      <w:r w:rsidRPr="00933C8E">
        <w:t xml:space="preserve">consumers of </w:t>
      </w:r>
      <w:r>
        <w:t>canola and vegetable oil</w:t>
      </w:r>
      <w:r w:rsidRPr="00933C8E">
        <w:t>).</w:t>
      </w:r>
      <w:r>
        <w:t xml:space="preserve"> Nutrition survey</w:t>
      </w:r>
      <w:r w:rsidRPr="00933C8E">
        <w:t xml:space="preserve"> </w:t>
      </w:r>
      <w:r>
        <w:t xml:space="preserve">respondents </w:t>
      </w:r>
      <w:r w:rsidRPr="00933C8E">
        <w:t>who had no consumption</w:t>
      </w:r>
      <w:r>
        <w:t xml:space="preserve"> of these foods were excluded. The proportion of the population who are consumers varies between the different population groups assessed.</w:t>
      </w:r>
    </w:p>
    <w:p w14:paraId="0686C32D" w14:textId="2BACF938" w:rsidR="00A145CE" w:rsidRPr="000D2A19" w:rsidRDefault="00756F8D" w:rsidP="00C114F5">
      <w:pPr>
        <w:pStyle w:val="Heading3"/>
      </w:pPr>
      <w:bookmarkStart w:id="82" w:name="_Toc360028621"/>
      <w:bookmarkStart w:id="83" w:name="_Toc415041929"/>
      <w:bookmarkStart w:id="84" w:name="_Toc483902160"/>
      <w:bookmarkStart w:id="85" w:name="_Toc484004337"/>
      <w:bookmarkStart w:id="86" w:name="_Toc487190317"/>
      <w:bookmarkStart w:id="87" w:name="_Toc497901457"/>
      <w:bookmarkStart w:id="88" w:name="_Toc102573436"/>
      <w:bookmarkEnd w:id="81"/>
      <w:r>
        <w:t>3.3.1</w:t>
      </w:r>
      <w:r>
        <w:tab/>
      </w:r>
      <w:r w:rsidR="00A145CE" w:rsidRPr="00C114F5">
        <w:t>Estimated</w:t>
      </w:r>
      <w:r w:rsidR="00A145CE" w:rsidRPr="000D2A19">
        <w:t xml:space="preserve"> n-3 LC-PUFA dietary intakes for </w:t>
      </w:r>
      <w:bookmarkEnd w:id="82"/>
      <w:bookmarkEnd w:id="83"/>
      <w:r w:rsidR="00A145CE" w:rsidRPr="000D2A19">
        <w:t>Australia</w:t>
      </w:r>
      <w:bookmarkEnd w:id="84"/>
      <w:bookmarkEnd w:id="85"/>
      <w:bookmarkEnd w:id="86"/>
      <w:bookmarkEnd w:id="87"/>
      <w:bookmarkEnd w:id="88"/>
    </w:p>
    <w:p w14:paraId="38B82BBE" w14:textId="29DA796A" w:rsidR="00675DE0" w:rsidRDefault="00A145CE" w:rsidP="00936E3F">
      <w:pPr>
        <w:spacing w:after="240"/>
      </w:pPr>
      <w:r w:rsidRPr="000D2A19">
        <w:t xml:space="preserve">Baseline mean usual intakes of n-3 LC-PUFA for Australians </w:t>
      </w:r>
      <w:r w:rsidRPr="00CB5153">
        <w:t xml:space="preserve">aged 2 years of age and above </w:t>
      </w:r>
      <w:r w:rsidRPr="000D2A19">
        <w:t>ranged from 0.092-0.270 g/day (92-270 mg/day)</w:t>
      </w:r>
      <w:r w:rsidR="005E4DA7">
        <w:t xml:space="preserve"> across all NRV age/sex groups</w:t>
      </w:r>
      <w:r w:rsidRPr="000D2A19">
        <w:t xml:space="preserve">. The highest mean usual intake was for 31-50 year old men </w:t>
      </w:r>
      <w:r w:rsidR="008C1781">
        <w:t>(</w:t>
      </w:r>
      <w:r w:rsidR="00641C73">
        <w:t xml:space="preserve"> Appendix 1</w:t>
      </w:r>
      <w:r w:rsidR="005D5D89">
        <w:t>, Table A</w:t>
      </w:r>
      <w:r w:rsidR="008C1781">
        <w:t>)</w:t>
      </w:r>
      <w:r w:rsidRPr="000D2A19">
        <w:t xml:space="preserve"> (</w:t>
      </w:r>
      <w:r w:rsidRPr="00135EE7">
        <w:t>ABS 2015</w:t>
      </w:r>
      <w:r w:rsidR="00BF5218">
        <w:t>a</w:t>
      </w:r>
      <w:r w:rsidRPr="000D2A19">
        <w:t>).</w:t>
      </w:r>
      <w:r>
        <w:t xml:space="preserve"> </w:t>
      </w:r>
      <w:r w:rsidRPr="00C332ED">
        <w:t xml:space="preserve">Mean canola oil consumption for consumers ranged from 1.0 g/day </w:t>
      </w:r>
      <w:r>
        <w:t>for</w:t>
      </w:r>
      <w:r w:rsidRPr="00C332ED">
        <w:t xml:space="preserve"> 2-3 year old children to 3.2 g/day </w:t>
      </w:r>
      <w:r>
        <w:t>for</w:t>
      </w:r>
      <w:r w:rsidRPr="00C332ED">
        <w:t xml:space="preserve"> 14-18 year old males</w:t>
      </w:r>
      <w:r w:rsidRPr="000D2A19">
        <w:t xml:space="preserve">. </w:t>
      </w:r>
    </w:p>
    <w:p w14:paraId="49A078C1" w14:textId="3D7099F8" w:rsidR="00675DE0" w:rsidRDefault="00A145CE" w:rsidP="00936E3F">
      <w:pPr>
        <w:spacing w:after="240"/>
      </w:pPr>
      <w:r w:rsidRPr="000D2A19">
        <w:t xml:space="preserve">Additional intake of n-3 LC-PUFA from </w:t>
      </w:r>
      <w:r>
        <w:t xml:space="preserve">LFBLFK canola oil when this replaces all the conventional </w:t>
      </w:r>
      <w:r w:rsidRPr="000D2A19">
        <w:t xml:space="preserve">canola oil (Scenario 1) ranged from </w:t>
      </w:r>
      <w:r>
        <w:t>0.179-0.485</w:t>
      </w:r>
      <w:r w:rsidRPr="000D2A19">
        <w:t> g/day</w:t>
      </w:r>
      <w:r w:rsidR="008C1781">
        <w:t xml:space="preserve"> (</w:t>
      </w:r>
      <w:r w:rsidR="00641C73">
        <w:t xml:space="preserve"> Appendix 1</w:t>
      </w:r>
      <w:r w:rsidR="005D5D89">
        <w:t>, Table B</w:t>
      </w:r>
      <w:r w:rsidR="008C1781">
        <w:t>)</w:t>
      </w:r>
      <w:r w:rsidRPr="000D2A19">
        <w:t>.</w:t>
      </w:r>
      <w:r>
        <w:t xml:space="preserve"> </w:t>
      </w:r>
      <w:r w:rsidRPr="000D2A19">
        <w:t>The highest n-3 LC</w:t>
      </w:r>
      <w:r w:rsidRPr="000D2A19">
        <w:noBreakHyphen/>
        <w:t xml:space="preserve">PUFA intake after adding the contribution of </w:t>
      </w:r>
      <w:r>
        <w:t>LFBLFK</w:t>
      </w:r>
      <w:r w:rsidRPr="000D2A19">
        <w:t xml:space="preserve"> canola </w:t>
      </w:r>
      <w:r w:rsidRPr="00B80818">
        <w:t>in Scenario</w:t>
      </w:r>
      <w:r w:rsidR="005E4DA7">
        <w:t> </w:t>
      </w:r>
      <w:r w:rsidRPr="00B80818">
        <w:t>1 was 0.485 g/ day (485 mg/day) for 14-18 year old males. However, all mean n-3 LC</w:t>
      </w:r>
      <w:r w:rsidRPr="00B80818">
        <w:noBreakHyphen/>
        <w:t xml:space="preserve">PUFA intakes were much lower than the UL of 3 g/day, ranging from 6-16% of the UL. </w:t>
      </w:r>
    </w:p>
    <w:p w14:paraId="2F1FF3C7" w14:textId="23CF9D5B" w:rsidR="00675DE0" w:rsidRDefault="00A145CE" w:rsidP="00936E3F">
      <w:pPr>
        <w:spacing w:after="240"/>
      </w:pPr>
      <w:r w:rsidRPr="00B80818">
        <w:lastRenderedPageBreak/>
        <w:t xml:space="preserve">In the </w:t>
      </w:r>
      <w:r>
        <w:t>intake estimate where all the canola oil plus 30% of non-specified vegetable oils are replaced by LFBLFK canola oil (</w:t>
      </w:r>
      <w:r w:rsidRPr="00B80818">
        <w:t>Scenario 2</w:t>
      </w:r>
      <w:r>
        <w:t>)</w:t>
      </w:r>
      <w:r w:rsidRPr="00B80818">
        <w:t xml:space="preserve">, </w:t>
      </w:r>
      <w:r>
        <w:t xml:space="preserve">mean oil </w:t>
      </w:r>
      <w:r w:rsidRPr="00B80818">
        <w:t>consumption</w:t>
      </w:r>
      <w:r>
        <w:t xml:space="preserve"> for consumers</w:t>
      </w:r>
      <w:r w:rsidRPr="00B80818">
        <w:t xml:space="preserve"> ranged from </w:t>
      </w:r>
      <w:r>
        <w:t xml:space="preserve">3.8 </w:t>
      </w:r>
      <w:r w:rsidR="005E4DA7" w:rsidRPr="00B80818">
        <w:t>g/day</w:t>
      </w:r>
      <w:r w:rsidR="005E4DA7">
        <w:t xml:space="preserve"> </w:t>
      </w:r>
      <w:r>
        <w:t>for 2-3 year old males to 9.9</w:t>
      </w:r>
      <w:r w:rsidRPr="00B80818">
        <w:t xml:space="preserve"> g/day</w:t>
      </w:r>
      <w:r>
        <w:t xml:space="preserve"> for 14-18 year old males </w:t>
      </w:r>
      <w:r w:rsidR="008C1781">
        <w:t>(</w:t>
      </w:r>
      <w:r w:rsidR="00641C73">
        <w:t xml:space="preserve"> Appendix 1</w:t>
      </w:r>
      <w:r w:rsidR="005D5D89">
        <w:t>, Table C</w:t>
      </w:r>
      <w:r w:rsidR="008C1781">
        <w:t>).</w:t>
      </w:r>
      <w:r w:rsidRPr="00B80818">
        <w:t xml:space="preserve"> </w:t>
      </w:r>
    </w:p>
    <w:p w14:paraId="3CE487F2" w14:textId="7FCC9F85" w:rsidR="00A145CE" w:rsidRPr="00B80818" w:rsidRDefault="00A145CE" w:rsidP="00936E3F">
      <w:pPr>
        <w:spacing w:after="240"/>
      </w:pPr>
      <w:r w:rsidRPr="00B80818">
        <w:t xml:space="preserve">Consequently, </w:t>
      </w:r>
      <w:r>
        <w:t xml:space="preserve">the </w:t>
      </w:r>
      <w:r w:rsidRPr="00B80818">
        <w:t>additional n-3 LC-PUFA intake from LFBLFK canola was much higher in Scenario 2, ranging from 0.</w:t>
      </w:r>
      <w:r>
        <w:t xml:space="preserve">430 </w:t>
      </w:r>
      <w:r w:rsidRPr="00B80818">
        <w:t>to 1.</w:t>
      </w:r>
      <w:r>
        <w:t>074</w:t>
      </w:r>
      <w:r w:rsidRPr="00B80818">
        <w:t xml:space="preserve"> g/day (</w:t>
      </w:r>
      <w:r>
        <w:t>430</w:t>
      </w:r>
      <w:r w:rsidRPr="00B80818">
        <w:t>-</w:t>
      </w:r>
      <w:r>
        <w:t>1074</w:t>
      </w:r>
      <w:r w:rsidRPr="00B80818">
        <w:t xml:space="preserve"> mg/day). The n</w:t>
      </w:r>
      <w:r w:rsidRPr="00B80818">
        <w:noBreakHyphen/>
        <w:t>3 LC</w:t>
      </w:r>
      <w:r w:rsidRPr="00B80818">
        <w:noBreakHyphen/>
        <w:t>PUFA intake increased much more substantially than in Scenario</w:t>
      </w:r>
      <w:r>
        <w:t xml:space="preserve"> </w:t>
      </w:r>
      <w:r w:rsidRPr="00B80818">
        <w:t>1 for all population groups. For example, for 2</w:t>
      </w:r>
      <w:r w:rsidRPr="00B80818">
        <w:noBreakHyphen/>
        <w:t>3 year old males mean intakes increase</w:t>
      </w:r>
      <w:r>
        <w:t>d</w:t>
      </w:r>
      <w:r w:rsidRPr="00B80818">
        <w:t xml:space="preserve"> from the baseline of 0.096 g/day (96 mg/day) to 0.4</w:t>
      </w:r>
      <w:r>
        <w:t xml:space="preserve">30 </w:t>
      </w:r>
      <w:r w:rsidRPr="00B80818">
        <w:t>g/day (</w:t>
      </w:r>
      <w:r>
        <w:t>430</w:t>
      </w:r>
      <w:r w:rsidRPr="00B80818">
        <w:t xml:space="preserve"> mg/day)</w:t>
      </w:r>
      <w:r w:rsidR="005E4DA7">
        <w:t xml:space="preserve"> in Scenario 2</w:t>
      </w:r>
      <w:r w:rsidRPr="00B80818">
        <w:t>. The highest intake after adding the contribution of LFBLFK canola in Scenario 2 was 1.</w:t>
      </w:r>
      <w:r>
        <w:t>074</w:t>
      </w:r>
      <w:r w:rsidRPr="00B80818">
        <w:t> g/day (</w:t>
      </w:r>
      <w:r>
        <w:t>1074</w:t>
      </w:r>
      <w:r w:rsidRPr="00B80818">
        <w:t xml:space="preserve"> mg/day) </w:t>
      </w:r>
      <w:r>
        <w:t>for</w:t>
      </w:r>
      <w:r w:rsidRPr="00B80818">
        <w:t xml:space="preserve"> 14-18 year old males. </w:t>
      </w:r>
      <w:r>
        <w:t>However, a</w:t>
      </w:r>
      <w:r w:rsidRPr="00B80818">
        <w:t xml:space="preserve">ll intakes from </w:t>
      </w:r>
      <w:r w:rsidR="005E4DA7">
        <w:t xml:space="preserve">the </w:t>
      </w:r>
      <w:r w:rsidRPr="00B80818">
        <w:t>Scenario 2 assessment</w:t>
      </w:r>
      <w:r>
        <w:t xml:space="preserve"> </w:t>
      </w:r>
      <w:r w:rsidRPr="00B80818">
        <w:t>remained below the UL (</w:t>
      </w:r>
      <w:r>
        <w:t>14</w:t>
      </w:r>
      <w:r w:rsidRPr="00B80818">
        <w:t>-</w:t>
      </w:r>
      <w:r>
        <w:t>36</w:t>
      </w:r>
      <w:r w:rsidRPr="00B80818">
        <w:t>%).</w:t>
      </w:r>
    </w:p>
    <w:p w14:paraId="26401AF8" w14:textId="2C743A59" w:rsidR="00A145CE" w:rsidRPr="00B80818" w:rsidRDefault="00C114F5" w:rsidP="00C114F5">
      <w:pPr>
        <w:pStyle w:val="Heading3"/>
      </w:pPr>
      <w:bookmarkStart w:id="89" w:name="_Toc487190318"/>
      <w:bookmarkStart w:id="90" w:name="_Toc497901458"/>
      <w:bookmarkStart w:id="91" w:name="_Toc102573437"/>
      <w:r>
        <w:t>3.3.2</w:t>
      </w:r>
      <w:r>
        <w:tab/>
      </w:r>
      <w:r w:rsidR="00A145CE" w:rsidRPr="00B80818">
        <w:t>Estimated n-3 LC-PUFA dietary intakes for New Zealand</w:t>
      </w:r>
      <w:bookmarkEnd w:id="89"/>
      <w:bookmarkEnd w:id="90"/>
      <w:bookmarkEnd w:id="91"/>
    </w:p>
    <w:p w14:paraId="326ABDD3" w14:textId="27D7D831" w:rsidR="00675DE0" w:rsidRDefault="00A145CE" w:rsidP="00936E3F">
      <w:pPr>
        <w:spacing w:after="240"/>
        <w:rPr>
          <w:szCs w:val="22"/>
        </w:rPr>
      </w:pPr>
      <w:r w:rsidRPr="00B80818">
        <w:t xml:space="preserve">This assessment assumes that New Zealand has the same </w:t>
      </w:r>
      <w:r w:rsidR="005E4DA7">
        <w:t xml:space="preserve">baseline </w:t>
      </w:r>
      <w:r w:rsidRPr="00B80818">
        <w:t>n</w:t>
      </w:r>
      <w:r w:rsidRPr="00B80818">
        <w:noBreakHyphen/>
        <w:t>3 LC-PUFA intakes as Australia. This assumption is supported by similar PUFA</w:t>
      </w:r>
      <w:r w:rsidR="00223732">
        <w:t>s</w:t>
      </w:r>
      <w:r w:rsidRPr="00B80818">
        <w:t xml:space="preserve"> and total fat reported intakes between the countries, where the mean values differed by less than 4</w:t>
      </w:r>
      <w:r w:rsidRPr="00B80818">
        <w:rPr>
          <w:szCs w:val="22"/>
        </w:rPr>
        <w:t>%</w:t>
      </w:r>
      <w:r w:rsidR="002A3F8C">
        <w:rPr>
          <w:szCs w:val="22"/>
        </w:rPr>
        <w:t xml:space="preserve"> (Elmadfa and Kornsteiner</w:t>
      </w:r>
      <w:r>
        <w:rPr>
          <w:szCs w:val="22"/>
        </w:rPr>
        <w:t xml:space="preserve"> 2009)</w:t>
      </w:r>
      <w:r w:rsidRPr="00B80818">
        <w:rPr>
          <w:szCs w:val="22"/>
        </w:rPr>
        <w:t xml:space="preserve">. </w:t>
      </w:r>
    </w:p>
    <w:p w14:paraId="0C948758" w14:textId="67477B13" w:rsidR="00675DE0" w:rsidRDefault="00A145CE" w:rsidP="00141A2F">
      <w:pPr>
        <w:spacing w:after="240"/>
        <w:rPr>
          <w:lang w:bidi="ar-SA"/>
        </w:rPr>
      </w:pPr>
      <w:r w:rsidRPr="00B80818">
        <w:rPr>
          <w:szCs w:val="22"/>
        </w:rPr>
        <w:t xml:space="preserve">The intakes reported in </w:t>
      </w:r>
      <w:r w:rsidR="00560291">
        <w:t xml:space="preserve"> Appendix 1 </w:t>
      </w:r>
      <w:r w:rsidR="00052B65">
        <w:t>(</w:t>
      </w:r>
      <w:r w:rsidR="005D5D89">
        <w:t>Table</w:t>
      </w:r>
      <w:r w:rsidR="00A15D6F">
        <w:t>s</w:t>
      </w:r>
      <w:r w:rsidR="005D5D89">
        <w:t xml:space="preserve"> B and D</w:t>
      </w:r>
      <w:r w:rsidR="008C1781">
        <w:t>)</w:t>
      </w:r>
      <w:r w:rsidRPr="00B80818">
        <w:rPr>
          <w:szCs w:val="22"/>
        </w:rPr>
        <w:t xml:space="preserve"> </w:t>
      </w:r>
      <w:r w:rsidR="005E4DA7">
        <w:rPr>
          <w:szCs w:val="22"/>
        </w:rPr>
        <w:t xml:space="preserve">for New Zealand </w:t>
      </w:r>
      <w:r w:rsidRPr="00B80818">
        <w:rPr>
          <w:szCs w:val="22"/>
        </w:rPr>
        <w:t>are matched with their closest NRV age group from the Australian usual intakes data (</w:t>
      </w:r>
      <w:r w:rsidRPr="00B80818">
        <w:rPr>
          <w:rFonts w:cs="Arial"/>
          <w:szCs w:val="22"/>
        </w:rPr>
        <w:t>ABS 2015b).</w:t>
      </w:r>
    </w:p>
    <w:p w14:paraId="3AB9FCA5" w14:textId="67C9F596" w:rsidR="00675DE0" w:rsidRPr="00936E3F" w:rsidRDefault="00A145CE" w:rsidP="00936E3F">
      <w:pPr>
        <w:spacing w:after="240"/>
        <w:rPr>
          <w:lang w:val="en-AU" w:eastAsia="en-AU"/>
        </w:rPr>
      </w:pPr>
      <w:r w:rsidRPr="00B80818">
        <w:rPr>
          <w:lang w:bidi="ar-SA"/>
        </w:rPr>
        <w:t xml:space="preserve">Mean canola oil consumption was higher in New Zealand than reported in Australia and ranged from 1.5 g/day for </w:t>
      </w:r>
      <w:r>
        <w:rPr>
          <w:lang w:bidi="ar-SA"/>
        </w:rPr>
        <w:t xml:space="preserve">14 </w:t>
      </w:r>
      <w:r w:rsidRPr="00B80818">
        <w:rPr>
          <w:lang w:bidi="ar-SA"/>
        </w:rPr>
        <w:t>year old females to 4.</w:t>
      </w:r>
      <w:r>
        <w:rPr>
          <w:lang w:bidi="ar-SA"/>
        </w:rPr>
        <w:t>5</w:t>
      </w:r>
      <w:r w:rsidRPr="00B80818">
        <w:rPr>
          <w:lang w:bidi="ar-SA"/>
        </w:rPr>
        <w:t xml:space="preserve"> g/day for </w:t>
      </w:r>
      <w:r>
        <w:rPr>
          <w:lang w:bidi="ar-SA"/>
        </w:rPr>
        <w:t>31-50</w:t>
      </w:r>
      <w:r w:rsidRPr="00B80818">
        <w:rPr>
          <w:lang w:bidi="ar-SA"/>
        </w:rPr>
        <w:t xml:space="preserve"> year old</w:t>
      </w:r>
      <w:r w:rsidRPr="00B80818">
        <w:rPr>
          <w:lang w:eastAsia="en-AU" w:bidi="ar-SA"/>
        </w:rPr>
        <w:t xml:space="preserve"> males</w:t>
      </w:r>
      <w:r w:rsidR="00F73311">
        <w:rPr>
          <w:lang w:eastAsia="en-AU" w:bidi="ar-SA"/>
        </w:rPr>
        <w:t xml:space="preserve"> </w:t>
      </w:r>
      <w:r w:rsidR="00F73311">
        <w:t>(</w:t>
      </w:r>
      <w:r w:rsidR="009E411C">
        <w:t xml:space="preserve"> Appendix 1</w:t>
      </w:r>
      <w:r w:rsidR="00F73311">
        <w:t>)</w:t>
      </w:r>
      <w:r w:rsidR="00F73311">
        <w:rPr>
          <w:lang w:eastAsia="en-AU" w:bidi="ar-SA"/>
        </w:rPr>
        <w:t>.</w:t>
      </w:r>
      <w:r w:rsidRPr="00B80818">
        <w:rPr>
          <w:lang w:eastAsia="en-AU" w:bidi="ar-SA"/>
        </w:rPr>
        <w:t xml:space="preserve"> </w:t>
      </w:r>
      <w:r w:rsidRPr="00B80818">
        <w:rPr>
          <w:lang w:bidi="ar-SA"/>
        </w:rPr>
        <w:t>Additional intake of n-3 LC-PUFA from canola oil only (Scenario 1) ranged from 0.2</w:t>
      </w:r>
      <w:r>
        <w:rPr>
          <w:lang w:bidi="ar-SA"/>
        </w:rPr>
        <w:t>66</w:t>
      </w:r>
      <w:r w:rsidRPr="00B80818">
        <w:rPr>
          <w:lang w:bidi="ar-SA"/>
        </w:rPr>
        <w:t>-0.6</w:t>
      </w:r>
      <w:r>
        <w:rPr>
          <w:lang w:bidi="ar-SA"/>
        </w:rPr>
        <w:t>6</w:t>
      </w:r>
      <w:r w:rsidRPr="00B80818">
        <w:rPr>
          <w:lang w:bidi="ar-SA"/>
        </w:rPr>
        <w:t>8 g/day</w:t>
      </w:r>
      <w:r>
        <w:rPr>
          <w:lang w:bidi="ar-SA"/>
        </w:rPr>
        <w:t xml:space="preserve"> (266 to 668 mg/day)</w:t>
      </w:r>
      <w:r w:rsidRPr="00B80818">
        <w:rPr>
          <w:lang w:bidi="ar-SA"/>
        </w:rPr>
        <w:t xml:space="preserve">. Intakes from mean baseline plus canola oil were lower than the UL of 3 g/day, ranging from </w:t>
      </w:r>
      <w:r>
        <w:rPr>
          <w:lang w:bidi="ar-SA"/>
        </w:rPr>
        <w:t>9</w:t>
      </w:r>
      <w:r w:rsidRPr="00B80818">
        <w:rPr>
          <w:lang w:bidi="ar-SA"/>
        </w:rPr>
        <w:t>-2</w:t>
      </w:r>
      <w:r>
        <w:rPr>
          <w:lang w:bidi="ar-SA"/>
        </w:rPr>
        <w:t>2</w:t>
      </w:r>
      <w:r w:rsidRPr="00B80818">
        <w:rPr>
          <w:lang w:bidi="ar-SA"/>
        </w:rPr>
        <w:t>%</w:t>
      </w:r>
      <w:r w:rsidR="00052B65">
        <w:rPr>
          <w:lang w:bidi="ar-SA"/>
        </w:rPr>
        <w:t xml:space="preserve"> (</w:t>
      </w:r>
      <w:r w:rsidR="009E411C">
        <w:rPr>
          <w:lang w:bidi="ar-SA"/>
        </w:rPr>
        <w:t xml:space="preserve"> Appendix 1</w:t>
      </w:r>
      <w:r w:rsidR="00052B65">
        <w:rPr>
          <w:lang w:bidi="ar-SA"/>
        </w:rPr>
        <w:t>, Table B</w:t>
      </w:r>
      <w:r w:rsidRPr="00B80818">
        <w:rPr>
          <w:lang w:bidi="ar-SA"/>
        </w:rPr>
        <w:t>). The highest intake after adding the contribution of LFBLFK canola in Scenario 1 was 0.6</w:t>
      </w:r>
      <w:r>
        <w:rPr>
          <w:lang w:bidi="ar-SA"/>
        </w:rPr>
        <w:t>6</w:t>
      </w:r>
      <w:r w:rsidRPr="00B80818">
        <w:rPr>
          <w:lang w:bidi="ar-SA"/>
        </w:rPr>
        <w:t>8 g/day (</w:t>
      </w:r>
      <w:r>
        <w:rPr>
          <w:lang w:bidi="ar-SA"/>
        </w:rPr>
        <w:t>668</w:t>
      </w:r>
      <w:r w:rsidRPr="00B80818">
        <w:rPr>
          <w:lang w:bidi="ar-SA"/>
        </w:rPr>
        <w:t xml:space="preserve"> mg/day) </w:t>
      </w:r>
      <w:r>
        <w:rPr>
          <w:lang w:bidi="ar-SA"/>
        </w:rPr>
        <w:t>for</w:t>
      </w:r>
      <w:r w:rsidRPr="00B80818">
        <w:rPr>
          <w:lang w:bidi="ar-SA"/>
        </w:rPr>
        <w:t xml:space="preserve"> </w:t>
      </w:r>
      <w:r>
        <w:rPr>
          <w:lang w:bidi="ar-SA"/>
        </w:rPr>
        <w:t>31-5</w:t>
      </w:r>
      <w:r w:rsidRPr="00B80818">
        <w:rPr>
          <w:lang w:bidi="ar-SA"/>
        </w:rPr>
        <w:t>0 year old males</w:t>
      </w:r>
      <w:r w:rsidRPr="0040005C">
        <w:rPr>
          <w:rStyle w:val="CCIChar"/>
        </w:rPr>
        <w:t>.</w:t>
      </w:r>
    </w:p>
    <w:p w14:paraId="4035EC34" w14:textId="34D113A2" w:rsidR="00A145CE" w:rsidRDefault="00A145CE" w:rsidP="00936E3F">
      <w:pPr>
        <w:spacing w:after="240"/>
        <w:rPr>
          <w:lang w:eastAsia="en-AU" w:bidi="ar-SA"/>
        </w:rPr>
      </w:pPr>
      <w:r w:rsidRPr="00A54760">
        <w:rPr>
          <w:lang w:eastAsia="en-AU" w:bidi="ar-SA"/>
        </w:rPr>
        <w:t>In Scenario 2</w:t>
      </w:r>
      <w:r w:rsidR="006A60D0">
        <w:rPr>
          <w:lang w:eastAsia="en-AU" w:bidi="ar-SA"/>
        </w:rPr>
        <w:t xml:space="preserve"> where </w:t>
      </w:r>
      <w:r w:rsidR="006A60D0">
        <w:t>all the canola oil plus 30% of non-specified vegetable oils are replaced by LFBLFK canola oil</w:t>
      </w:r>
      <w:r w:rsidRPr="00A54760">
        <w:rPr>
          <w:lang w:eastAsia="en-AU" w:bidi="ar-SA"/>
        </w:rPr>
        <w:t>,</w:t>
      </w:r>
      <w:r>
        <w:rPr>
          <w:lang w:eastAsia="en-AU" w:bidi="ar-SA"/>
        </w:rPr>
        <w:t xml:space="preserve"> mean </w:t>
      </w:r>
      <w:r w:rsidRPr="00A54760">
        <w:rPr>
          <w:lang w:eastAsia="en-AU" w:bidi="ar-SA"/>
        </w:rPr>
        <w:t xml:space="preserve">oil consumption ranged from </w:t>
      </w:r>
      <w:r>
        <w:rPr>
          <w:lang w:eastAsia="en-AU" w:bidi="ar-SA"/>
        </w:rPr>
        <w:t>7.3 g/day for ≥71 year old females to 15.0</w:t>
      </w:r>
      <w:r w:rsidRPr="00A54760">
        <w:rPr>
          <w:lang w:eastAsia="en-AU" w:bidi="ar-SA"/>
        </w:rPr>
        <w:t xml:space="preserve"> g/day </w:t>
      </w:r>
      <w:r>
        <w:rPr>
          <w:lang w:eastAsia="en-AU" w:bidi="ar-SA"/>
        </w:rPr>
        <w:t>for 31-50</w:t>
      </w:r>
      <w:r w:rsidRPr="00A54760">
        <w:rPr>
          <w:lang w:eastAsia="en-AU" w:bidi="ar-SA"/>
        </w:rPr>
        <w:t xml:space="preserve"> year old males. Additional n-3 LC-PUFA intake from </w:t>
      </w:r>
      <w:r>
        <w:rPr>
          <w:lang w:eastAsia="en-AU" w:bidi="ar-SA"/>
        </w:rPr>
        <w:t>LFBLFK</w:t>
      </w:r>
      <w:r w:rsidRPr="00A54760">
        <w:rPr>
          <w:lang w:eastAsia="en-AU" w:bidi="ar-SA"/>
        </w:rPr>
        <w:t xml:space="preserve"> canola in New Zealand ranged from 0.</w:t>
      </w:r>
      <w:r>
        <w:rPr>
          <w:lang w:eastAsia="en-AU" w:bidi="ar-SA"/>
        </w:rPr>
        <w:t>869</w:t>
      </w:r>
      <w:r w:rsidRPr="00A54760">
        <w:rPr>
          <w:lang w:eastAsia="en-AU" w:bidi="ar-SA"/>
        </w:rPr>
        <w:t xml:space="preserve"> to 1.</w:t>
      </w:r>
      <w:r>
        <w:rPr>
          <w:lang w:eastAsia="en-AU" w:bidi="ar-SA"/>
        </w:rPr>
        <w:t>591</w:t>
      </w:r>
      <w:r w:rsidRPr="00A54760">
        <w:rPr>
          <w:lang w:eastAsia="en-AU" w:bidi="ar-SA"/>
        </w:rPr>
        <w:t xml:space="preserve"> g/day (</w:t>
      </w:r>
      <w:r>
        <w:rPr>
          <w:lang w:eastAsia="en-AU" w:bidi="ar-SA"/>
        </w:rPr>
        <w:t>869</w:t>
      </w:r>
      <w:r w:rsidRPr="00A54760">
        <w:rPr>
          <w:lang w:eastAsia="en-AU" w:bidi="ar-SA"/>
        </w:rPr>
        <w:t>-</w:t>
      </w:r>
      <w:r>
        <w:rPr>
          <w:lang w:eastAsia="en-AU" w:bidi="ar-SA"/>
        </w:rPr>
        <w:t>1591</w:t>
      </w:r>
      <w:r w:rsidRPr="00A54760">
        <w:rPr>
          <w:lang w:eastAsia="en-AU" w:bidi="ar-SA"/>
        </w:rPr>
        <w:t xml:space="preserve"> mg/day). The n</w:t>
      </w:r>
      <w:r w:rsidRPr="00A54760">
        <w:rPr>
          <w:lang w:eastAsia="en-AU" w:bidi="ar-SA"/>
        </w:rPr>
        <w:noBreakHyphen/>
        <w:t>3 LC-PUFA intake increased for all population groups, but intakes were still below the UL (</w:t>
      </w:r>
      <w:r>
        <w:rPr>
          <w:lang w:eastAsia="en-AU" w:bidi="ar-SA"/>
        </w:rPr>
        <w:t>29</w:t>
      </w:r>
      <w:r w:rsidRPr="00A54760">
        <w:rPr>
          <w:lang w:eastAsia="en-AU" w:bidi="ar-SA"/>
        </w:rPr>
        <w:t>-</w:t>
      </w:r>
      <w:r>
        <w:rPr>
          <w:lang w:eastAsia="en-AU" w:bidi="ar-SA"/>
        </w:rPr>
        <w:t>53</w:t>
      </w:r>
      <w:r w:rsidRPr="00A54760">
        <w:rPr>
          <w:lang w:eastAsia="en-AU" w:bidi="ar-SA"/>
        </w:rPr>
        <w:t>%).</w:t>
      </w:r>
    </w:p>
    <w:p w14:paraId="6FB356C3" w14:textId="360779CE" w:rsidR="00A145CE" w:rsidRPr="00A54760" w:rsidRDefault="00C114F5" w:rsidP="00C114F5">
      <w:pPr>
        <w:pStyle w:val="Heading3"/>
      </w:pPr>
      <w:bookmarkStart w:id="92" w:name="_Toc465176605"/>
      <w:bookmarkStart w:id="93" w:name="_Toc465170030"/>
      <w:bookmarkStart w:id="94" w:name="_Toc483902161"/>
      <w:bookmarkStart w:id="95" w:name="_Toc484004338"/>
      <w:bookmarkStart w:id="96" w:name="_Toc487190319"/>
      <w:bookmarkStart w:id="97" w:name="_Toc497901459"/>
      <w:bookmarkStart w:id="98" w:name="_Toc102573438"/>
      <w:r>
        <w:t>3.3.3</w:t>
      </w:r>
      <w:r>
        <w:tab/>
      </w:r>
      <w:r w:rsidR="00A145CE" w:rsidRPr="00A54760">
        <w:t xml:space="preserve">Major food categories contributing to n-3 LC-PUFA dietary </w:t>
      </w:r>
      <w:bookmarkEnd w:id="92"/>
      <w:bookmarkEnd w:id="93"/>
      <w:r w:rsidR="00A145CE" w:rsidRPr="00A54760">
        <w:t>intakes</w:t>
      </w:r>
      <w:bookmarkEnd w:id="94"/>
      <w:bookmarkEnd w:id="95"/>
      <w:bookmarkEnd w:id="96"/>
      <w:bookmarkEnd w:id="97"/>
      <w:bookmarkEnd w:id="98"/>
    </w:p>
    <w:p w14:paraId="6FBE6C27" w14:textId="143FE4AD" w:rsidR="00A145CE" w:rsidRDefault="00A145CE" w:rsidP="00A145CE">
      <w:r w:rsidRPr="00633236">
        <w:t>For Australians</w:t>
      </w:r>
      <w:r w:rsidR="00A302A5">
        <w:t xml:space="preserve"> 2 years and above</w:t>
      </w:r>
      <w:r w:rsidRPr="00633236">
        <w:t>, the major contributors to baseline intakes of n-3 LC-PUFA were</w:t>
      </w:r>
      <w:r>
        <w:t xml:space="preserve"> fish, </w:t>
      </w:r>
      <w:r w:rsidRPr="00633236">
        <w:t>seafood products and dishes (5</w:t>
      </w:r>
      <w:r w:rsidR="00A12198">
        <w:t>6</w:t>
      </w:r>
      <w:r w:rsidRPr="00633236">
        <w:t>%), meat, poultry and game products and dishes (2</w:t>
      </w:r>
      <w:r w:rsidR="00A12198">
        <w:t>1</w:t>
      </w:r>
      <w:r w:rsidRPr="00633236">
        <w:t>%) and cereals based products and dishes (1</w:t>
      </w:r>
      <w:r w:rsidR="00A12198">
        <w:t>0</w:t>
      </w:r>
      <w:r w:rsidRPr="00633236">
        <w:t>%) (</w:t>
      </w:r>
      <w:r>
        <w:t>ABS 2015</w:t>
      </w:r>
      <w:r w:rsidRPr="001C7ABB">
        <w:t>a</w:t>
      </w:r>
      <w:r w:rsidRPr="00633236">
        <w:t xml:space="preserve">). </w:t>
      </w:r>
      <w:r>
        <w:t>Assuming</w:t>
      </w:r>
      <w:r w:rsidRPr="00633236">
        <w:t xml:space="preserve"> similarity in food supplies, these contributions for New Zealand are most likely very similar</w:t>
      </w:r>
      <w:r>
        <w:t xml:space="preserve"> to Australia</w:t>
      </w:r>
      <w:r w:rsidRPr="00633236">
        <w:t>.</w:t>
      </w:r>
      <w:bookmarkStart w:id="99" w:name="_Ref452556518"/>
      <w:bookmarkStart w:id="100" w:name="_Ref480293661"/>
    </w:p>
    <w:p w14:paraId="149514E7" w14:textId="7BD5CF73" w:rsidR="00A145CE" w:rsidRPr="00E600A3" w:rsidRDefault="00C114F5" w:rsidP="00C114F5">
      <w:pPr>
        <w:pStyle w:val="Heading2"/>
        <w:spacing w:before="120" w:after="120"/>
      </w:pPr>
      <w:bookmarkStart w:id="101" w:name="_Ref483391415"/>
      <w:bookmarkStart w:id="102" w:name="_Toc465176608"/>
      <w:bookmarkStart w:id="103" w:name="_Toc465170033"/>
      <w:bookmarkStart w:id="104" w:name="_Toc483902162"/>
      <w:bookmarkStart w:id="105" w:name="_Toc484004339"/>
      <w:bookmarkStart w:id="106" w:name="_Toc487190320"/>
      <w:bookmarkStart w:id="107" w:name="_Toc497901460"/>
      <w:bookmarkStart w:id="108" w:name="_Toc102573439"/>
      <w:bookmarkEnd w:id="99"/>
      <w:bookmarkEnd w:id="100"/>
      <w:bookmarkEnd w:id="101"/>
      <w:bookmarkEnd w:id="102"/>
      <w:bookmarkEnd w:id="103"/>
      <w:bookmarkEnd w:id="104"/>
      <w:r>
        <w:t>3.4</w:t>
      </w:r>
      <w:r>
        <w:tab/>
      </w:r>
      <w:r w:rsidR="00A145CE" w:rsidRPr="00E600A3">
        <w:t>Conclusion of the dietary intake assessment</w:t>
      </w:r>
      <w:bookmarkEnd w:id="105"/>
      <w:bookmarkEnd w:id="106"/>
      <w:bookmarkEnd w:id="107"/>
      <w:bookmarkEnd w:id="108"/>
    </w:p>
    <w:p w14:paraId="3ADCDAE3" w14:textId="702D0972" w:rsidR="00675DE0" w:rsidRDefault="00A145CE" w:rsidP="00936E3F">
      <w:pPr>
        <w:spacing w:after="240"/>
        <w:rPr>
          <w:szCs w:val="22"/>
        </w:rPr>
      </w:pPr>
      <w:r>
        <w:rPr>
          <w:szCs w:val="22"/>
        </w:rPr>
        <w:t>When all the conventional canola oil is replaced by LFBLFK canola oil (Scenario 1) t</w:t>
      </w:r>
      <w:r w:rsidRPr="00B72DE0">
        <w:rPr>
          <w:szCs w:val="22"/>
        </w:rPr>
        <w:t xml:space="preserve">he estimated highest mean intakes of n-3 LC-PUFA </w:t>
      </w:r>
      <w:r>
        <w:rPr>
          <w:szCs w:val="22"/>
        </w:rPr>
        <w:t xml:space="preserve">by </w:t>
      </w:r>
      <w:r w:rsidRPr="00B72DE0">
        <w:rPr>
          <w:szCs w:val="22"/>
        </w:rPr>
        <w:t xml:space="preserve">Australian </w:t>
      </w:r>
      <w:r>
        <w:rPr>
          <w:szCs w:val="22"/>
        </w:rPr>
        <w:t xml:space="preserve">and New Zealand </w:t>
      </w:r>
      <w:r w:rsidRPr="00B72DE0">
        <w:rPr>
          <w:szCs w:val="22"/>
        </w:rPr>
        <w:t xml:space="preserve">population </w:t>
      </w:r>
      <w:r>
        <w:rPr>
          <w:szCs w:val="22"/>
        </w:rPr>
        <w:t xml:space="preserve">groups </w:t>
      </w:r>
      <w:r w:rsidRPr="00B72DE0">
        <w:rPr>
          <w:szCs w:val="22"/>
        </w:rPr>
        <w:t>was 0.485 g/day and 0.6</w:t>
      </w:r>
      <w:r>
        <w:rPr>
          <w:szCs w:val="22"/>
        </w:rPr>
        <w:t>6</w:t>
      </w:r>
      <w:r w:rsidRPr="00B72DE0">
        <w:rPr>
          <w:szCs w:val="22"/>
        </w:rPr>
        <w:t>8 g/day respectively</w:t>
      </w:r>
      <w:r w:rsidR="00661147">
        <w:rPr>
          <w:szCs w:val="22"/>
        </w:rPr>
        <w:t xml:space="preserve"> (</w:t>
      </w:r>
      <w:r w:rsidR="00661147" w:rsidRPr="00661147">
        <w:rPr>
          <w:bCs/>
          <w:szCs w:val="22"/>
        </w:rPr>
        <w:t>Figure 1</w:t>
      </w:r>
      <w:r w:rsidR="00661147">
        <w:rPr>
          <w:szCs w:val="22"/>
        </w:rPr>
        <w:t>)</w:t>
      </w:r>
      <w:r w:rsidRPr="00B72DE0">
        <w:rPr>
          <w:szCs w:val="22"/>
        </w:rPr>
        <w:t>.</w:t>
      </w:r>
      <w:r>
        <w:t xml:space="preserve"> </w:t>
      </w:r>
    </w:p>
    <w:p w14:paraId="391F2EF9" w14:textId="3D93DFEB" w:rsidR="00675DE0" w:rsidRDefault="00A145CE" w:rsidP="00936E3F">
      <w:pPr>
        <w:spacing w:after="240"/>
        <w:rPr>
          <w:szCs w:val="22"/>
        </w:rPr>
      </w:pPr>
      <w:r w:rsidRPr="00BE0A57">
        <w:rPr>
          <w:szCs w:val="22"/>
        </w:rPr>
        <w:t>Alternatively, if LFBLFK canola replaced all canola oil plus 30% of non-specified oil (Scenario</w:t>
      </w:r>
      <w:r w:rsidR="00A302A5">
        <w:rPr>
          <w:szCs w:val="22"/>
        </w:rPr>
        <w:t> </w:t>
      </w:r>
      <w:r w:rsidRPr="00BE0A57">
        <w:rPr>
          <w:szCs w:val="22"/>
        </w:rPr>
        <w:t xml:space="preserve">2), the estimated highest mean intakes of n-3 LC-PUFA by Australian </w:t>
      </w:r>
      <w:r>
        <w:rPr>
          <w:szCs w:val="22"/>
        </w:rPr>
        <w:t xml:space="preserve">and New Zealand </w:t>
      </w:r>
      <w:r w:rsidRPr="00BE0A57">
        <w:rPr>
          <w:szCs w:val="22"/>
        </w:rPr>
        <w:t>population group</w:t>
      </w:r>
      <w:r>
        <w:rPr>
          <w:szCs w:val="22"/>
        </w:rPr>
        <w:t>s</w:t>
      </w:r>
      <w:r w:rsidRPr="00BE0A57">
        <w:rPr>
          <w:szCs w:val="22"/>
        </w:rPr>
        <w:t xml:space="preserve"> was 1.</w:t>
      </w:r>
      <w:r>
        <w:rPr>
          <w:szCs w:val="22"/>
        </w:rPr>
        <w:t>292</w:t>
      </w:r>
      <w:r w:rsidRPr="00BE0A57">
        <w:rPr>
          <w:szCs w:val="22"/>
        </w:rPr>
        <w:t xml:space="preserve"> g/day and </w:t>
      </w:r>
      <w:r>
        <w:rPr>
          <w:szCs w:val="22"/>
        </w:rPr>
        <w:t>1.591</w:t>
      </w:r>
      <w:r w:rsidRPr="00BE0A57">
        <w:rPr>
          <w:szCs w:val="22"/>
        </w:rPr>
        <w:t xml:space="preserve"> g/day respectively</w:t>
      </w:r>
      <w:r>
        <w:rPr>
          <w:szCs w:val="22"/>
        </w:rPr>
        <w:t>.</w:t>
      </w:r>
    </w:p>
    <w:p w14:paraId="53E1085F" w14:textId="77239D5C" w:rsidR="00A145CE" w:rsidRDefault="00A145CE" w:rsidP="00936E3F">
      <w:pPr>
        <w:spacing w:after="240"/>
        <w:rPr>
          <w:szCs w:val="22"/>
        </w:rPr>
      </w:pPr>
      <w:r w:rsidRPr="00BE0A57">
        <w:rPr>
          <w:szCs w:val="22"/>
        </w:rPr>
        <w:t>The estimate</w:t>
      </w:r>
      <w:r>
        <w:rPr>
          <w:szCs w:val="22"/>
        </w:rPr>
        <w:t>d mean intakes</w:t>
      </w:r>
      <w:r w:rsidRPr="00BE0A57">
        <w:rPr>
          <w:szCs w:val="22"/>
        </w:rPr>
        <w:t xml:space="preserve"> of n-3 LC-PUFA for scenarios 1 and 2,</w:t>
      </w:r>
      <w:r>
        <w:rPr>
          <w:szCs w:val="22"/>
        </w:rPr>
        <w:t xml:space="preserve"> all</w:t>
      </w:r>
      <w:r w:rsidRPr="00BE0A57">
        <w:rPr>
          <w:szCs w:val="22"/>
        </w:rPr>
        <w:t xml:space="preserve"> population groups and both countries were below the UL of 3 g/day</w:t>
      </w:r>
      <w:r>
        <w:rPr>
          <w:szCs w:val="22"/>
        </w:rPr>
        <w:t xml:space="preserve"> (</w:t>
      </w:r>
      <w:r w:rsidRPr="00BE0A57">
        <w:rPr>
          <w:szCs w:val="22"/>
        </w:rPr>
        <w:t>up to 2</w:t>
      </w:r>
      <w:r>
        <w:rPr>
          <w:szCs w:val="22"/>
        </w:rPr>
        <w:t>2</w:t>
      </w:r>
      <w:r w:rsidRPr="00BE0A57">
        <w:rPr>
          <w:szCs w:val="22"/>
        </w:rPr>
        <w:t>% of the UL</w:t>
      </w:r>
      <w:r>
        <w:rPr>
          <w:szCs w:val="22"/>
        </w:rPr>
        <w:t xml:space="preserve"> for Scenario 1, and up </w:t>
      </w:r>
      <w:r>
        <w:rPr>
          <w:szCs w:val="22"/>
        </w:rPr>
        <w:lastRenderedPageBreak/>
        <w:t>to 53</w:t>
      </w:r>
      <w:r w:rsidRPr="00BE0A57">
        <w:rPr>
          <w:szCs w:val="22"/>
        </w:rPr>
        <w:t>% of the UL</w:t>
      </w:r>
      <w:r>
        <w:rPr>
          <w:szCs w:val="22"/>
        </w:rPr>
        <w:t xml:space="preserve"> for Scenario 2)</w:t>
      </w:r>
      <w:r w:rsidRPr="00BE0A57">
        <w:rPr>
          <w:szCs w:val="22"/>
        </w:rPr>
        <w:t>.</w:t>
      </w:r>
      <w:r>
        <w:rPr>
          <w:szCs w:val="22"/>
        </w:rPr>
        <w:t xml:space="preserve"> T</w:t>
      </w:r>
      <w:r w:rsidRPr="00E600A3">
        <w:rPr>
          <w:szCs w:val="22"/>
        </w:rPr>
        <w:t xml:space="preserve">he true intakes of n-3 LC-PUFA would likely be lower </w:t>
      </w:r>
      <w:r>
        <w:rPr>
          <w:szCs w:val="22"/>
        </w:rPr>
        <w:t>because</w:t>
      </w:r>
      <w:r w:rsidRPr="00E600A3">
        <w:rPr>
          <w:szCs w:val="22"/>
        </w:rPr>
        <w:t xml:space="preserve"> both scenarios assume that all canola oil in the marketplace is from </w:t>
      </w:r>
      <w:r>
        <w:rPr>
          <w:szCs w:val="22"/>
        </w:rPr>
        <w:t>LFBLFK</w:t>
      </w:r>
      <w:r w:rsidRPr="00E600A3">
        <w:rPr>
          <w:szCs w:val="22"/>
        </w:rPr>
        <w:t xml:space="preserve"> canola</w:t>
      </w:r>
      <w:r w:rsidR="003D5EA8">
        <w:rPr>
          <w:szCs w:val="22"/>
        </w:rPr>
        <w:t>,</w:t>
      </w:r>
      <w:r w:rsidRPr="00E600A3">
        <w:rPr>
          <w:szCs w:val="22"/>
        </w:rPr>
        <w:t xml:space="preserve"> the amount eaten is based on mean consumers not mean per person</w:t>
      </w:r>
      <w:r w:rsidR="003D5EA8">
        <w:rPr>
          <w:szCs w:val="22"/>
        </w:rPr>
        <w:t>, and the estimated consumption amount of canola oil is consumed every day over a lifetime</w:t>
      </w:r>
      <w:r w:rsidRPr="00E600A3">
        <w:rPr>
          <w:szCs w:val="22"/>
        </w:rPr>
        <w:t xml:space="preserve">. The intake estimates are intentionally highly protective of consumers to </w:t>
      </w:r>
      <w:r w:rsidR="003D5EA8">
        <w:rPr>
          <w:szCs w:val="22"/>
        </w:rPr>
        <w:t>assess if</w:t>
      </w:r>
      <w:r w:rsidRPr="00E600A3">
        <w:rPr>
          <w:szCs w:val="22"/>
        </w:rPr>
        <w:t xml:space="preserve"> there </w:t>
      </w:r>
      <w:r w:rsidR="003D5EA8">
        <w:rPr>
          <w:szCs w:val="22"/>
        </w:rPr>
        <w:t>would be any</w:t>
      </w:r>
      <w:r w:rsidRPr="00E600A3">
        <w:rPr>
          <w:szCs w:val="22"/>
        </w:rPr>
        <w:t xml:space="preserve"> concern associated with </w:t>
      </w:r>
      <w:r>
        <w:rPr>
          <w:szCs w:val="22"/>
        </w:rPr>
        <w:t>LFBLFK</w:t>
      </w:r>
      <w:r w:rsidRPr="00E600A3">
        <w:rPr>
          <w:szCs w:val="22"/>
        </w:rPr>
        <w:t xml:space="preserve"> canola increasing n-3 LC-PUFA intake in Australia and New Zealand</w:t>
      </w:r>
      <w:r w:rsidR="003D5EA8">
        <w:rPr>
          <w:szCs w:val="22"/>
        </w:rPr>
        <w:t xml:space="preserve"> to levels exceeding the UL</w:t>
      </w:r>
      <w:r w:rsidRPr="00E600A3">
        <w:rPr>
          <w:szCs w:val="22"/>
        </w:rPr>
        <w:t xml:space="preserve">. </w:t>
      </w:r>
    </w:p>
    <w:p w14:paraId="1E2D2BE9" w14:textId="5622B391" w:rsidR="00661147" w:rsidRPr="00661147" w:rsidRDefault="00661147" w:rsidP="00661147">
      <w:pPr>
        <w:pStyle w:val="Caption"/>
        <w:rPr>
          <w:b w:val="0"/>
          <w:bCs w:val="0"/>
          <w:color w:val="auto"/>
          <w:sz w:val="22"/>
          <w:szCs w:val="22"/>
          <w:lang w:val="en-GB"/>
        </w:rPr>
      </w:pPr>
      <w:bookmarkStart w:id="109" w:name="_Ref102029611"/>
      <w:r w:rsidRPr="00661147">
        <w:rPr>
          <w:bCs w:val="0"/>
          <w:color w:val="auto"/>
          <w:sz w:val="22"/>
          <w:szCs w:val="22"/>
          <w:lang w:val="en-GB"/>
        </w:rPr>
        <w:t>Figure 1</w:t>
      </w:r>
      <w:bookmarkEnd w:id="109"/>
      <w:r w:rsidRPr="00661147">
        <w:rPr>
          <w:szCs w:val="22"/>
        </w:rPr>
        <w:t xml:space="preserve"> </w:t>
      </w:r>
      <w:r w:rsidRPr="00661147">
        <w:rPr>
          <w:b w:val="0"/>
          <w:bCs w:val="0"/>
          <w:color w:val="auto"/>
          <w:sz w:val="22"/>
          <w:szCs w:val="22"/>
          <w:lang w:val="en-GB"/>
        </w:rPr>
        <w:t>Highest estimated</w:t>
      </w:r>
      <w:r w:rsidR="003D5EA8">
        <w:rPr>
          <w:b w:val="0"/>
          <w:bCs w:val="0"/>
          <w:color w:val="auto"/>
          <w:sz w:val="22"/>
          <w:szCs w:val="22"/>
          <w:lang w:val="en-GB"/>
        </w:rPr>
        <w:t xml:space="preserve"> mean</w:t>
      </w:r>
      <w:r w:rsidRPr="00661147">
        <w:rPr>
          <w:b w:val="0"/>
          <w:bCs w:val="0"/>
          <w:color w:val="auto"/>
          <w:sz w:val="22"/>
          <w:szCs w:val="22"/>
          <w:lang w:val="en-GB"/>
        </w:rPr>
        <w:t xml:space="preserve"> dietary intakes of n-3 LC-PUFA in Australia and New Zealand</w:t>
      </w:r>
      <w:r w:rsidR="003D5EA8">
        <w:rPr>
          <w:b w:val="0"/>
          <w:bCs w:val="0"/>
          <w:color w:val="auto"/>
          <w:sz w:val="22"/>
          <w:szCs w:val="22"/>
          <w:lang w:val="en-GB"/>
        </w:rPr>
        <w:t>*</w:t>
      </w:r>
      <w:r w:rsidRPr="00661147">
        <w:rPr>
          <w:b w:val="0"/>
          <w:bCs w:val="0"/>
          <w:color w:val="auto"/>
          <w:sz w:val="22"/>
          <w:szCs w:val="22"/>
          <w:lang w:val="en-GB"/>
        </w:rPr>
        <w:t xml:space="preserve"> under two scenarios: Scenario 1 – all canola oil is replaced with new variety (LFBLFK) canola oil and Scenario 2 – all canola oil+ 30% unspecified vegetable oils replaced by new variety (LFBLFK) canola oil.</w:t>
      </w:r>
    </w:p>
    <w:p w14:paraId="6FCF743C" w14:textId="77777777" w:rsidR="00A145CE" w:rsidRDefault="00A145CE" w:rsidP="00A145CE">
      <w:pPr>
        <w:jc w:val="both"/>
        <w:rPr>
          <w:szCs w:val="22"/>
        </w:rPr>
      </w:pPr>
      <w:r>
        <w:rPr>
          <w:noProof/>
          <w:szCs w:val="22"/>
          <w:lang w:eastAsia="en-GB" w:bidi="ar-SA"/>
        </w:rPr>
        <w:drawing>
          <wp:inline distT="0" distB="0" distL="0" distR="0" wp14:anchorId="5DCE4D4E" wp14:editId="34A3C5D7">
            <wp:extent cx="5340871" cy="3205679"/>
            <wp:effectExtent l="0" t="0" r="0" b="0"/>
            <wp:docPr id="2" name="Picture 2" descr="Highest estimated mean dietary intakes of n-3 LC-PUFA in Australia and New Zealand* under two scenarios: Scenario 1 – all canola oil is replaced with new variety (LFBLFK) canola oil and Scenario 2 – all canola oil+ 30% unspecified vegetable oils replaced by new variety (LFBLFK) canola oil."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4183" cy="3207667"/>
                    </a:xfrm>
                    <a:prstGeom prst="rect">
                      <a:avLst/>
                    </a:prstGeom>
                    <a:noFill/>
                  </pic:spPr>
                </pic:pic>
              </a:graphicData>
            </a:graphic>
          </wp:inline>
        </w:drawing>
      </w:r>
    </w:p>
    <w:p w14:paraId="20E5C92E" w14:textId="2E8907BE" w:rsidR="003D5EA8" w:rsidRPr="003D5EA8" w:rsidRDefault="003D5EA8" w:rsidP="00A145CE">
      <w:pPr>
        <w:jc w:val="both"/>
        <w:rPr>
          <w:sz w:val="18"/>
          <w:szCs w:val="22"/>
        </w:rPr>
      </w:pPr>
      <w:r w:rsidRPr="003D5EA8">
        <w:rPr>
          <w:sz w:val="18"/>
          <w:szCs w:val="22"/>
        </w:rPr>
        <w:t>* Includ</w:t>
      </w:r>
      <w:r>
        <w:rPr>
          <w:sz w:val="18"/>
          <w:szCs w:val="22"/>
        </w:rPr>
        <w:t>ing</w:t>
      </w:r>
      <w:r w:rsidRPr="003D5EA8">
        <w:rPr>
          <w:sz w:val="18"/>
          <w:szCs w:val="22"/>
        </w:rPr>
        <w:t xml:space="preserve"> baseline </w:t>
      </w:r>
      <w:r w:rsidRPr="003D5EA8">
        <w:rPr>
          <w:bCs/>
          <w:sz w:val="18"/>
          <w:szCs w:val="22"/>
        </w:rPr>
        <w:t>n-3 LC-PUFA intakes.</w:t>
      </w:r>
    </w:p>
    <w:p w14:paraId="5CED98B0" w14:textId="72D839E9" w:rsidR="00786369" w:rsidRPr="00286CA4" w:rsidRDefault="00786369" w:rsidP="00D26E0D">
      <w:pPr>
        <w:pStyle w:val="Heading1"/>
        <w:ind w:left="0" w:firstLine="0"/>
      </w:pPr>
      <w:bookmarkStart w:id="110" w:name="_Toc102573440"/>
      <w:r>
        <w:t>4</w:t>
      </w:r>
      <w:r w:rsidRPr="00CB626D">
        <w:t xml:space="preserve"> </w:t>
      </w:r>
      <w:r w:rsidRPr="00CB626D">
        <w:tab/>
      </w:r>
      <w:r>
        <w:t>Risk characterisation and conclusion</w:t>
      </w:r>
      <w:bookmarkEnd w:id="110"/>
    </w:p>
    <w:p w14:paraId="1A99D576" w14:textId="60B7CFC7" w:rsidR="000740F5" w:rsidRDefault="0068297F" w:rsidP="00936E3F">
      <w:pPr>
        <w:spacing w:after="240"/>
      </w:pPr>
      <w:r w:rsidRPr="0068297F">
        <w:t>Conventional canola oils do not</w:t>
      </w:r>
      <w:r>
        <w:t xml:space="preserve"> contain quantifiable levels of</w:t>
      </w:r>
      <w:r w:rsidRPr="0068297F">
        <w:t xml:space="preserve"> EPA, DPA and DHA. In </w:t>
      </w:r>
      <w:r w:rsidR="00090417">
        <w:t xml:space="preserve">refined </w:t>
      </w:r>
      <w:r w:rsidRPr="0068297F">
        <w:t xml:space="preserve">LBFLFK </w:t>
      </w:r>
      <w:r>
        <w:t xml:space="preserve">canola </w:t>
      </w:r>
      <w:r w:rsidRPr="0068297F">
        <w:t>oil, the sum of EPA, DPA and DHA levels, as a percentage of total FAs, is 6.5%</w:t>
      </w:r>
      <w:r>
        <w:t xml:space="preserve">. </w:t>
      </w:r>
      <w:r w:rsidR="00B52132" w:rsidRPr="00B52132">
        <w:t xml:space="preserve">As the oil from LBFLFK seed will be available for human consumption, FSANZ has conducted a risk assessment to identify whether any adverse health effects can be expected from a potential increase in the dietary intake of EPA, DPA and DHA. </w:t>
      </w:r>
      <w:r w:rsidR="000740F5" w:rsidRPr="000740F5">
        <w:rPr>
          <w:lang w:bidi="ar-SA"/>
        </w:rPr>
        <w:t xml:space="preserve">As for fish oils, FAs in canola oil are predominantly in the form of triglycerides, and therefore the bioavailability of EPA, DPA and DHA from triglycerides in LBFLFK oil and fish oil </w:t>
      </w:r>
      <w:r w:rsidR="00C81925">
        <w:rPr>
          <w:lang w:bidi="ar-SA"/>
        </w:rPr>
        <w:t xml:space="preserve">is </w:t>
      </w:r>
      <w:r w:rsidR="000740F5" w:rsidRPr="000740F5">
        <w:rPr>
          <w:lang w:bidi="ar-SA"/>
        </w:rPr>
        <w:t>expected to be similar</w:t>
      </w:r>
      <w:r w:rsidR="00487B54">
        <w:rPr>
          <w:lang w:bidi="ar-SA"/>
        </w:rPr>
        <w:t xml:space="preserve"> and not raise nutritional concerns</w:t>
      </w:r>
      <w:r w:rsidR="00090417">
        <w:rPr>
          <w:lang w:bidi="ar-SA"/>
        </w:rPr>
        <w:t>.</w:t>
      </w:r>
    </w:p>
    <w:p w14:paraId="3D131430" w14:textId="371F13B2" w:rsidR="00377834" w:rsidRDefault="00377834" w:rsidP="00936E3F">
      <w:pPr>
        <w:spacing w:after="240"/>
      </w:pPr>
      <w:r>
        <w:rPr>
          <w:lang w:bidi="ar-SA"/>
        </w:rPr>
        <w:t xml:space="preserve">An </w:t>
      </w:r>
      <w:r w:rsidRPr="00297C46">
        <w:rPr>
          <w:lang w:bidi="ar-SA"/>
        </w:rPr>
        <w:t>U</w:t>
      </w:r>
      <w:r>
        <w:rPr>
          <w:lang w:bidi="ar-SA"/>
        </w:rPr>
        <w:t xml:space="preserve">pper </w:t>
      </w:r>
      <w:r w:rsidRPr="00297C46">
        <w:rPr>
          <w:lang w:bidi="ar-SA"/>
        </w:rPr>
        <w:t>L</w:t>
      </w:r>
      <w:r>
        <w:rPr>
          <w:lang w:bidi="ar-SA"/>
        </w:rPr>
        <w:t>evel of Intake (UL), defined as</w:t>
      </w:r>
      <w:r w:rsidRPr="00297C46">
        <w:t xml:space="preserve"> </w:t>
      </w:r>
      <w:r w:rsidRPr="00297C46">
        <w:rPr>
          <w:lang w:bidi="ar-SA"/>
        </w:rPr>
        <w:t>the highest average daily nutrient intake level likely to pose no adverse health effects</w:t>
      </w:r>
      <w:r>
        <w:rPr>
          <w:lang w:bidi="ar-SA"/>
        </w:rPr>
        <w:t>,</w:t>
      </w:r>
      <w:r w:rsidRPr="00297C46">
        <w:rPr>
          <w:lang w:bidi="ar-SA"/>
        </w:rPr>
        <w:t xml:space="preserve"> </w:t>
      </w:r>
      <w:r>
        <w:rPr>
          <w:lang w:bidi="ar-SA"/>
        </w:rPr>
        <w:t>has been established for n-3 LC-PUFA.</w:t>
      </w:r>
      <w:r w:rsidRPr="00297C46">
        <w:rPr>
          <w:lang w:bidi="ar-SA"/>
        </w:rPr>
        <w:t xml:space="preserve"> </w:t>
      </w:r>
      <w:r>
        <w:rPr>
          <w:lang w:bidi="ar-SA"/>
        </w:rPr>
        <w:t xml:space="preserve">The UL, </w:t>
      </w:r>
      <w:r w:rsidRPr="00297C46">
        <w:rPr>
          <w:lang w:bidi="ar-SA"/>
        </w:rPr>
        <w:t>defined as th</w:t>
      </w:r>
      <w:r>
        <w:rPr>
          <w:lang w:bidi="ar-SA"/>
        </w:rPr>
        <w:t>e sum of EPA, DPA and DHA, is 3 </w:t>
      </w:r>
      <w:r w:rsidRPr="00297C46">
        <w:rPr>
          <w:lang w:bidi="ar-SA"/>
        </w:rPr>
        <w:t>g/day for children, adolescents and adults</w:t>
      </w:r>
      <w:r>
        <w:rPr>
          <w:lang w:bidi="ar-SA"/>
        </w:rPr>
        <w:t xml:space="preserve">. A large number of randomised controlled trials of </w:t>
      </w:r>
      <w:r w:rsidRPr="008E5CBF">
        <w:rPr>
          <w:lang w:bidi="ar-SA"/>
        </w:rPr>
        <w:t xml:space="preserve">n-3 LC-PUFA </w:t>
      </w:r>
      <w:r>
        <w:rPr>
          <w:lang w:bidi="ar-SA"/>
        </w:rPr>
        <w:t>have been conducted since th</w:t>
      </w:r>
      <w:r w:rsidR="008806BB">
        <w:rPr>
          <w:lang w:bidi="ar-SA"/>
        </w:rPr>
        <w:t>e UL was established, and based on a lack of treatment-related adverse effects in these trials it is concluded that the UL</w:t>
      </w:r>
      <w:r w:rsidRPr="008E5CBF">
        <w:rPr>
          <w:lang w:bidi="ar-SA"/>
        </w:rPr>
        <w:t xml:space="preserve"> of 3 g/day is sufficiently health protective and appropriate for use in risk </w:t>
      </w:r>
      <w:r>
        <w:rPr>
          <w:lang w:bidi="ar-SA"/>
        </w:rPr>
        <w:t>characterisation</w:t>
      </w:r>
      <w:r w:rsidRPr="008E5CBF">
        <w:rPr>
          <w:lang w:bidi="ar-SA"/>
        </w:rPr>
        <w:t>.</w:t>
      </w:r>
    </w:p>
    <w:p w14:paraId="282CA817" w14:textId="723DC3FF" w:rsidR="00141003" w:rsidRDefault="00377834" w:rsidP="00936E3F">
      <w:pPr>
        <w:spacing w:after="240"/>
      </w:pPr>
      <w:r>
        <w:lastRenderedPageBreak/>
        <w:t xml:space="preserve">The dietary intake assessment </w:t>
      </w:r>
      <w:r w:rsidR="008A6F47">
        <w:t xml:space="preserve">considered two scenarios. Scenario 1 assumed that all conventional canola oil reported as consumed is replaced by </w:t>
      </w:r>
      <w:r w:rsidR="002F36D0">
        <w:t>LBFLFK</w:t>
      </w:r>
      <w:r w:rsidR="00B92A2F">
        <w:t xml:space="preserve"> oil</w:t>
      </w:r>
      <w:r w:rsidR="008A6F47">
        <w:t xml:space="preserve">. Scenario 2 assumed </w:t>
      </w:r>
      <w:r w:rsidR="00090417">
        <w:t>that</w:t>
      </w:r>
      <w:r w:rsidR="008A6F47">
        <w:t xml:space="preserve"> 30% </w:t>
      </w:r>
      <w:r w:rsidR="00090417">
        <w:t xml:space="preserve">of </w:t>
      </w:r>
      <w:r w:rsidR="008A6F47">
        <w:t xml:space="preserve">non-specified oils currently in the marketplace as well as 100% of conventional canola oil </w:t>
      </w:r>
      <w:r w:rsidR="00090417">
        <w:t xml:space="preserve">are replaced </w:t>
      </w:r>
      <w:r w:rsidR="008A6F47">
        <w:t xml:space="preserve">with </w:t>
      </w:r>
      <w:r w:rsidR="002F36D0">
        <w:t>LBFLFK</w:t>
      </w:r>
      <w:r w:rsidR="00B92A2F">
        <w:t xml:space="preserve"> oil</w:t>
      </w:r>
      <w:r w:rsidR="008A6F47">
        <w:t xml:space="preserve"> (as per Scenario 1).</w:t>
      </w:r>
      <w:r w:rsidR="00B92A2F">
        <w:t xml:space="preserve"> </w:t>
      </w:r>
      <w:r w:rsidR="00090417">
        <w:t xml:space="preserve">The scenarios also included </w:t>
      </w:r>
      <w:r w:rsidR="00090417">
        <w:rPr>
          <w:lang w:bidi="ar-SA"/>
        </w:rPr>
        <w:t xml:space="preserve">the usual intake of n-3 LC-PUFA (sum of EPA, DPA and DHA) from the current food supply (baseline intake). </w:t>
      </w:r>
      <w:r w:rsidR="00B92A2F" w:rsidRPr="00B92A2F">
        <w:t>The dietary intake estimates for all population groups</w:t>
      </w:r>
      <w:r w:rsidR="00090417">
        <w:t xml:space="preserve"> assessed</w:t>
      </w:r>
      <w:r w:rsidR="00B92A2F" w:rsidRPr="00B92A2F">
        <w:t xml:space="preserve"> in both Australia and New Zealand were below the UL of 3 g/day. It is therefore concluded that consumption of </w:t>
      </w:r>
      <w:r w:rsidR="00C65825">
        <w:t xml:space="preserve">oil from canola line </w:t>
      </w:r>
      <w:r w:rsidR="002F36D0">
        <w:t>LBFLFK</w:t>
      </w:r>
      <w:r w:rsidR="00B92A2F" w:rsidRPr="00B92A2F">
        <w:t xml:space="preserve"> will not pose a </w:t>
      </w:r>
      <w:r w:rsidR="00487B54">
        <w:t xml:space="preserve">nutritional </w:t>
      </w:r>
      <w:r w:rsidR="00201AAB">
        <w:t>risk</w:t>
      </w:r>
      <w:r w:rsidR="00B92A2F" w:rsidRPr="00B92A2F">
        <w:t xml:space="preserve"> to the Australian and New Zealand populations.</w:t>
      </w:r>
    </w:p>
    <w:p w14:paraId="4B033A70" w14:textId="7C094B45" w:rsidR="00E57075" w:rsidRDefault="001D5E65" w:rsidP="00B71ED9">
      <w:pPr>
        <w:pStyle w:val="Heading1"/>
      </w:pPr>
      <w:bookmarkStart w:id="111" w:name="_Toc102573441"/>
      <w:r>
        <w:t>5</w:t>
      </w:r>
      <w:r>
        <w:tab/>
      </w:r>
      <w:r w:rsidR="000B55F4">
        <w:t>References</w:t>
      </w:r>
      <w:bookmarkEnd w:id="111"/>
    </w:p>
    <w:p w14:paraId="63403175" w14:textId="296DE2F4" w:rsidR="00A12D50" w:rsidRDefault="00606ECE" w:rsidP="00936E3F">
      <w:pPr>
        <w:spacing w:after="240"/>
        <w:rPr>
          <w:szCs w:val="22"/>
        </w:rPr>
      </w:pPr>
      <w:r>
        <w:rPr>
          <w:szCs w:val="22"/>
        </w:rPr>
        <w:t xml:space="preserve">Abdelhamid AS, Brown TJ, Brainard JS, Biswas P, Thorpe GC, Moore </w:t>
      </w:r>
      <w:r w:rsidRPr="00606ECE">
        <w:rPr>
          <w:szCs w:val="22"/>
        </w:rPr>
        <w:t xml:space="preserve">HJ, et al. </w:t>
      </w:r>
      <w:r>
        <w:rPr>
          <w:szCs w:val="22"/>
        </w:rPr>
        <w:t xml:space="preserve">(2018) </w:t>
      </w:r>
      <w:r w:rsidRPr="00606ECE">
        <w:rPr>
          <w:szCs w:val="22"/>
        </w:rPr>
        <w:t xml:space="preserve">Omega-3 </w:t>
      </w:r>
      <w:r>
        <w:rPr>
          <w:szCs w:val="22"/>
        </w:rPr>
        <w:t xml:space="preserve">fatty acids for the primary and </w:t>
      </w:r>
      <w:r w:rsidRPr="00606ECE">
        <w:rPr>
          <w:szCs w:val="22"/>
        </w:rPr>
        <w:t>secondary prevention of c</w:t>
      </w:r>
      <w:r>
        <w:rPr>
          <w:szCs w:val="22"/>
        </w:rPr>
        <w:t>ardiovascular disease. Cochrane Database Syst Rev, Issue 11. doi: 10.1002/14651858.CD003177.pub4</w:t>
      </w:r>
    </w:p>
    <w:p w14:paraId="663280D8" w14:textId="390A23F2" w:rsidR="00006762" w:rsidRPr="001B226A" w:rsidRDefault="00006762" w:rsidP="00936E3F">
      <w:pPr>
        <w:spacing w:after="240"/>
        <w:rPr>
          <w:szCs w:val="22"/>
        </w:rPr>
      </w:pPr>
      <w:r w:rsidRPr="00006762">
        <w:rPr>
          <w:szCs w:val="22"/>
        </w:rPr>
        <w:t>Abdelhamid AS, Brown TJ, Brainard JS, Biswas P, Thorpe GC, Moore HJ, Deane KH, Summerbell CD, W</w:t>
      </w:r>
      <w:r>
        <w:rPr>
          <w:szCs w:val="22"/>
        </w:rPr>
        <w:t xml:space="preserve">orthington HV, Song F, Hooper L (2020) </w:t>
      </w:r>
      <w:r w:rsidRPr="00006762">
        <w:rPr>
          <w:szCs w:val="22"/>
        </w:rPr>
        <w:t>Omega-3 fatty acids for the primary and secondary prevention of cardiovascular disease.</w:t>
      </w:r>
      <w:r>
        <w:rPr>
          <w:szCs w:val="22"/>
        </w:rPr>
        <w:t xml:space="preserve"> </w:t>
      </w:r>
      <w:r w:rsidRPr="00006762">
        <w:rPr>
          <w:szCs w:val="22"/>
        </w:rPr>
        <w:t>Cochr</w:t>
      </w:r>
      <w:r>
        <w:rPr>
          <w:szCs w:val="22"/>
        </w:rPr>
        <w:t xml:space="preserve">ane Database Syst Rev </w:t>
      </w:r>
      <w:r w:rsidRPr="00006762">
        <w:rPr>
          <w:szCs w:val="22"/>
        </w:rPr>
        <w:t>29;3(3):CD003177. doi:</w:t>
      </w:r>
      <w:r w:rsidR="00254F72">
        <w:rPr>
          <w:szCs w:val="22"/>
        </w:rPr>
        <w:t xml:space="preserve"> 10.1002/14651858.CD003177.pub5</w:t>
      </w:r>
    </w:p>
    <w:p w14:paraId="3ADC028D" w14:textId="02401DCF" w:rsidR="00A145CE" w:rsidRPr="000522D7" w:rsidRDefault="00A145CE" w:rsidP="00936E3F">
      <w:pPr>
        <w:spacing w:after="240"/>
        <w:rPr>
          <w:szCs w:val="22"/>
        </w:rPr>
      </w:pPr>
      <w:r w:rsidRPr="001B226A">
        <w:rPr>
          <w:szCs w:val="22"/>
        </w:rPr>
        <w:t>ABS (</w:t>
      </w:r>
      <w:r w:rsidRPr="008F7336">
        <w:rPr>
          <w:rFonts w:cs="Arial"/>
          <w:szCs w:val="22"/>
        </w:rPr>
        <w:t xml:space="preserve">2015a) Australian health survey: Nutrition first results - foods and nutrients, 2011-12. Table 10: Proportion of Nutrients from food groups, Canberra, Australia. </w:t>
      </w:r>
      <w:hyperlink r:id="rId22" w:anchor="data-download" w:history="1">
        <w:r w:rsidRPr="008F7336">
          <w:rPr>
            <w:rStyle w:val="Hyperlink"/>
            <w:rFonts w:cs="Arial"/>
            <w:szCs w:val="22"/>
          </w:rPr>
          <w:t>https://www.abs.gov.au/statistics/health/health-conditions-and-risks/australian-health-survey-nutrition-first-results-foods-and-nutrients/latest-release#data-download</w:t>
        </w:r>
      </w:hyperlink>
    </w:p>
    <w:p w14:paraId="0D96E2A6" w14:textId="77777777" w:rsidR="00AC0829" w:rsidRDefault="00A145CE" w:rsidP="00645494">
      <w:pPr>
        <w:pStyle w:val="CitaviBibliographyEntry"/>
        <w:spacing w:before="240" w:beforeAutospacing="0" w:afterAutospacing="0"/>
        <w:ind w:left="0" w:firstLine="0"/>
        <w:contextualSpacing/>
        <w:rPr>
          <w:rStyle w:val="Hyperlink"/>
          <w:rFonts w:cs="Arial"/>
        </w:rPr>
      </w:pPr>
      <w:r w:rsidRPr="00AC0829">
        <w:rPr>
          <w:rFonts w:ascii="Arial" w:eastAsia="Times New Roman" w:hAnsi="Arial" w:cs="Times New Roman"/>
          <w:lang w:val="en-GB" w:eastAsia="en-US" w:bidi="en-US"/>
        </w:rPr>
        <w:t>ABS (2015b) National Nutrition and Physical Activity Survey, 2011-12, Basic CURF. 2nd Edition.</w:t>
      </w:r>
      <w:r w:rsidRPr="008F7336">
        <w:rPr>
          <w:rFonts w:cs="Arial"/>
        </w:rPr>
        <w:t xml:space="preserve"> </w:t>
      </w:r>
      <w:hyperlink r:id="rId23" w:anchor="data-download" w:history="1">
        <w:r w:rsidRPr="008F7336">
          <w:rPr>
            <w:rStyle w:val="Hyperlink"/>
            <w:rFonts w:cs="Arial"/>
          </w:rPr>
          <w:t>https://www.abs.gov.au/statistics/microdata-tablebuilder/available-microdata-tablebuilder/australian-health-survey-nutrition-and-physical-activity#data-download</w:t>
        </w:r>
      </w:hyperlink>
    </w:p>
    <w:p w14:paraId="581C0B2D" w14:textId="77777777" w:rsidR="00AC0829" w:rsidRDefault="00AC0829" w:rsidP="00645494">
      <w:pPr>
        <w:pStyle w:val="CitaviBibliographyEntry"/>
        <w:spacing w:before="240" w:beforeAutospacing="0" w:afterAutospacing="0"/>
        <w:ind w:left="0" w:firstLine="0"/>
        <w:contextualSpacing/>
        <w:rPr>
          <w:rStyle w:val="Hyperlink"/>
          <w:rFonts w:cs="Arial"/>
        </w:rPr>
      </w:pPr>
    </w:p>
    <w:p w14:paraId="55542D44" w14:textId="0EC935A7" w:rsidR="006D4807" w:rsidRPr="00645494" w:rsidRDefault="006D4807" w:rsidP="00645494">
      <w:pPr>
        <w:pStyle w:val="CitaviBibliographyEntry"/>
        <w:spacing w:before="240" w:beforeAutospacing="0" w:afterAutospacing="0"/>
        <w:ind w:left="0" w:firstLine="0"/>
        <w:contextualSpacing/>
        <w:rPr>
          <w:rFonts w:ascii="Arial" w:hAnsi="Arial" w:cs="Arial"/>
        </w:rPr>
      </w:pPr>
      <w:r w:rsidRPr="00936E3F">
        <w:rPr>
          <w:rFonts w:ascii="Arial" w:hAnsi="Arial" w:cs="Arial"/>
        </w:rPr>
        <w:t xml:space="preserve">Andre C, Buesen R, Riffle B, Wandelt C, Sottosanto JB, Marxfeld H, Strauss V, van Ravenzwaay B, Lipscomb EA (2019) Safety assessment of EPA+DHA canola oil by fatty acid profile comparison to various edible oils and fat-containing foods and a 28-day repeated dose toxicity study in rats. Food Chem Toxicol 124:168-181. </w:t>
      </w:r>
      <w:r w:rsidR="001B226A" w:rsidRPr="00936E3F">
        <w:rPr>
          <w:rFonts w:ascii="Arial" w:hAnsi="Arial" w:cs="Arial"/>
        </w:rPr>
        <w:t>doi: 10.1016/j.fct.2018.11.042</w:t>
      </w:r>
    </w:p>
    <w:p w14:paraId="67F9ADE9" w14:textId="47736302" w:rsidR="000522D7" w:rsidRPr="000522D7" w:rsidRDefault="000522D7" w:rsidP="00645494">
      <w:pPr>
        <w:pStyle w:val="CitaviBibliographyEntry"/>
        <w:spacing w:before="240" w:beforeAutospacing="0" w:after="240" w:afterAutospacing="0"/>
        <w:ind w:left="0" w:firstLine="0"/>
        <w:rPr>
          <w:rFonts w:ascii="Arial" w:hAnsi="Arial" w:cs="Arial"/>
        </w:rPr>
      </w:pPr>
      <w:r w:rsidRPr="001B1C99">
        <w:rPr>
          <w:rFonts w:ascii="Arial" w:hAnsi="Arial" w:cs="Arial"/>
        </w:rPr>
        <w:t>Brenna</w:t>
      </w:r>
      <w:r w:rsidRPr="000522D7">
        <w:rPr>
          <w:rFonts w:ascii="Arial" w:hAnsi="Arial" w:cs="Arial"/>
        </w:rPr>
        <w:t xml:space="preserve"> JT, Salem N, Sinclair AJ, Cunnane SC (2009) α-Linolenic acid supplementation and conversion to n-3 long-chain polyunsaturated fatty acids in humans. Prostaglandins Leukot Essent Fatty Acids 80(2-3):85–91. doi: 10.1016/j.plefa.2009.01.004</w:t>
      </w:r>
    </w:p>
    <w:p w14:paraId="3BE6E430" w14:textId="1B558B60" w:rsidR="006F3A97" w:rsidRDefault="000522D7" w:rsidP="00645494">
      <w:pPr>
        <w:pStyle w:val="CitaviBibliographyEntry"/>
        <w:spacing w:before="0" w:beforeAutospacing="0" w:afterAutospacing="0"/>
        <w:ind w:left="0" w:firstLine="0"/>
        <w:rPr>
          <w:rFonts w:ascii="Arial" w:hAnsi="Arial" w:cs="Arial"/>
        </w:rPr>
      </w:pPr>
      <w:bookmarkStart w:id="112" w:name="_CTVL0018a4d3952fb2d4d699a1e57c583ccfa22"/>
      <w:r w:rsidRPr="000522D7">
        <w:rPr>
          <w:rFonts w:ascii="Arial" w:hAnsi="Arial" w:cs="Arial"/>
        </w:rPr>
        <w:t>Calder PC (2012) Mechanisms of action of (n-3) fatty acids. J Nutr 142(3):592S-599S. doi: 10.3945/jn.111.155259</w:t>
      </w:r>
      <w:bookmarkEnd w:id="112"/>
    </w:p>
    <w:p w14:paraId="53E28D6C" w14:textId="6C368937" w:rsidR="00F47F09" w:rsidRDefault="0096239C" w:rsidP="00645494">
      <w:pPr>
        <w:pStyle w:val="CitaviBibliographyEntry"/>
        <w:spacing w:afterAutospacing="0"/>
        <w:ind w:left="0" w:firstLine="0"/>
        <w:rPr>
          <w:rFonts w:ascii="Arial" w:hAnsi="Arial" w:cs="Arial"/>
        </w:rPr>
      </w:pPr>
      <w:r w:rsidRPr="0096239C">
        <w:rPr>
          <w:rFonts w:ascii="Arial" w:hAnsi="Arial" w:cs="Arial"/>
        </w:rPr>
        <w:t>Del-Río-Navarro BE, Miranda-Lora AL, Huang F, Hall-</w:t>
      </w:r>
      <w:r>
        <w:rPr>
          <w:rFonts w:ascii="Arial" w:hAnsi="Arial" w:cs="Arial"/>
        </w:rPr>
        <w:t xml:space="preserve">Mondragon MS, Leija-Martínez JJ (2019) </w:t>
      </w:r>
      <w:r w:rsidRPr="0096239C">
        <w:rPr>
          <w:rFonts w:ascii="Arial" w:hAnsi="Arial" w:cs="Arial"/>
        </w:rPr>
        <w:t>Effect of supplementation with omega-3 fatty acids on hypertriglyceridemia in pediatric patients with obesity.</w:t>
      </w:r>
      <w:r w:rsidR="008F14A7">
        <w:rPr>
          <w:rFonts w:ascii="Arial" w:hAnsi="Arial" w:cs="Arial"/>
        </w:rPr>
        <w:t xml:space="preserve"> </w:t>
      </w:r>
      <w:r w:rsidRPr="0096239C">
        <w:rPr>
          <w:rFonts w:ascii="Arial" w:hAnsi="Arial" w:cs="Arial"/>
        </w:rPr>
        <w:t>J Pediatr Endocrinol Metab32(8):811-819. doi: 10.1</w:t>
      </w:r>
      <w:r w:rsidR="008F14A7">
        <w:rPr>
          <w:rFonts w:ascii="Arial" w:hAnsi="Arial" w:cs="Arial"/>
        </w:rPr>
        <w:t>515/jpem-2018-0409</w:t>
      </w:r>
    </w:p>
    <w:p w14:paraId="01A6CECC" w14:textId="65EA2E66" w:rsidR="00A145CE" w:rsidRDefault="00247085" w:rsidP="00645494">
      <w:pPr>
        <w:pStyle w:val="CitaviBibliographyEntry"/>
        <w:spacing w:afterAutospacing="0"/>
        <w:ind w:left="0" w:firstLine="0"/>
        <w:rPr>
          <w:rFonts w:ascii="Arial" w:hAnsi="Arial" w:cs="Arial"/>
        </w:rPr>
      </w:pPr>
      <w:r>
        <w:rPr>
          <w:rFonts w:ascii="Arial" w:hAnsi="Arial" w:cs="Arial"/>
        </w:rPr>
        <w:t>Elmadfa I &amp; Kornsteiner M</w:t>
      </w:r>
      <w:r w:rsidR="00A145CE" w:rsidRPr="008F7336">
        <w:rPr>
          <w:rFonts w:ascii="Arial" w:hAnsi="Arial" w:cs="Arial"/>
        </w:rPr>
        <w:t xml:space="preserve"> (2009) Fats and fatty acid requirements for adults. Annals of </w:t>
      </w:r>
      <w:r w:rsidR="00A145CE">
        <w:rPr>
          <w:rFonts w:ascii="Arial" w:hAnsi="Arial" w:cs="Arial"/>
        </w:rPr>
        <w:t>N</w:t>
      </w:r>
      <w:r w:rsidR="00A145CE" w:rsidRPr="008F7336">
        <w:rPr>
          <w:rFonts w:ascii="Arial" w:hAnsi="Arial" w:cs="Arial"/>
        </w:rPr>
        <w:t xml:space="preserve">utrition &amp; </w:t>
      </w:r>
      <w:r w:rsidR="00A145CE">
        <w:rPr>
          <w:rFonts w:ascii="Arial" w:hAnsi="Arial" w:cs="Arial"/>
        </w:rPr>
        <w:t>M</w:t>
      </w:r>
      <w:r>
        <w:rPr>
          <w:rFonts w:ascii="Arial" w:hAnsi="Arial" w:cs="Arial"/>
        </w:rPr>
        <w:t>etabolism, 55(1/3):</w:t>
      </w:r>
      <w:r w:rsidR="00A145CE" w:rsidRPr="008F7336">
        <w:rPr>
          <w:rFonts w:ascii="Arial" w:hAnsi="Arial" w:cs="Arial"/>
        </w:rPr>
        <w:t>56-75</w:t>
      </w:r>
    </w:p>
    <w:p w14:paraId="5FE19F0E" w14:textId="680402A4" w:rsidR="00A145CE" w:rsidRDefault="00A145CE" w:rsidP="00645494">
      <w:pPr>
        <w:pStyle w:val="CitaviBibliographyEntry"/>
        <w:spacing w:afterAutospacing="0"/>
        <w:ind w:left="0" w:firstLine="0"/>
        <w:rPr>
          <w:rFonts w:ascii="Arial" w:hAnsi="Arial" w:cs="Arial"/>
        </w:rPr>
      </w:pPr>
      <w:r w:rsidRPr="008F7336">
        <w:rPr>
          <w:rFonts w:ascii="Arial" w:hAnsi="Arial" w:cs="Arial"/>
        </w:rPr>
        <w:t>FSANZ (2009</w:t>
      </w:r>
      <w:r w:rsidR="00E2130F">
        <w:rPr>
          <w:rFonts w:ascii="Arial" w:hAnsi="Arial" w:cs="Arial"/>
        </w:rPr>
        <w:t>a</w:t>
      </w:r>
      <w:r w:rsidRPr="008F7336">
        <w:rPr>
          <w:rFonts w:ascii="Arial" w:hAnsi="Arial" w:cs="Arial"/>
        </w:rPr>
        <w:t xml:space="preserve">) Trans fatty acids in New Zealand and Australia Food Supply: Review report, Canberra, Australia. </w:t>
      </w:r>
      <w:hyperlink r:id="rId24" w:history="1">
        <w:r w:rsidRPr="008F7336">
          <w:rPr>
            <w:rStyle w:val="Hyperlink"/>
            <w:rFonts w:cs="Arial"/>
          </w:rPr>
          <w:t>https://www.foodstandards.gov.au/publications/documents/Transfat%20report%202007.pdf</w:t>
        </w:r>
      </w:hyperlink>
      <w:r w:rsidRPr="008F7336">
        <w:rPr>
          <w:rFonts w:ascii="Arial" w:hAnsi="Arial" w:cs="Arial"/>
        </w:rPr>
        <w:t xml:space="preserve">. </w:t>
      </w:r>
    </w:p>
    <w:p w14:paraId="68848192" w14:textId="7E7FC6F0" w:rsidR="00A145CE" w:rsidRDefault="00247085" w:rsidP="00645494">
      <w:pPr>
        <w:pStyle w:val="CitaviBibliographyEntry"/>
        <w:spacing w:afterAutospacing="0"/>
        <w:ind w:left="0" w:firstLine="0"/>
        <w:rPr>
          <w:rFonts w:ascii="Arial" w:hAnsi="Arial" w:cs="Arial"/>
        </w:rPr>
      </w:pPr>
      <w:r>
        <w:rPr>
          <w:rFonts w:ascii="Arial" w:hAnsi="Arial" w:cs="Arial"/>
        </w:rPr>
        <w:lastRenderedPageBreak/>
        <w:t>FSANZ (2009</w:t>
      </w:r>
      <w:r w:rsidR="002A3F8C">
        <w:rPr>
          <w:rFonts w:ascii="Arial" w:hAnsi="Arial" w:cs="Arial"/>
        </w:rPr>
        <w:t>b</w:t>
      </w:r>
      <w:r>
        <w:rPr>
          <w:rFonts w:ascii="Arial" w:hAnsi="Arial" w:cs="Arial"/>
        </w:rPr>
        <w:t>)</w:t>
      </w:r>
      <w:r w:rsidR="00A145CE" w:rsidRPr="008F7336">
        <w:rPr>
          <w:rFonts w:ascii="Arial" w:hAnsi="Arial" w:cs="Arial"/>
        </w:rPr>
        <w:t xml:space="preserve"> Principles and practices of dietary exposure assessment for food regulatory purposes. Canberra, Australia. </w:t>
      </w:r>
      <w:hyperlink r:id="rId25" w:history="1">
        <w:r w:rsidR="00A145CE" w:rsidRPr="008F7336">
          <w:rPr>
            <w:rStyle w:val="Hyperlink"/>
            <w:rFonts w:cs="Arial"/>
          </w:rPr>
          <w:t>https://www.foodstandards.gov.au/publications/Pages/Principles-and-Practices-of-Dietary.aspx</w:t>
        </w:r>
      </w:hyperlink>
    </w:p>
    <w:p w14:paraId="27070F34" w14:textId="605A94D5" w:rsidR="00827179" w:rsidRDefault="00161EBD" w:rsidP="00645494">
      <w:pPr>
        <w:spacing w:before="240"/>
        <w:rPr>
          <w:rFonts w:cs="Arial"/>
          <w:noProof/>
          <w:szCs w:val="22"/>
        </w:rPr>
      </w:pPr>
      <w:r>
        <w:rPr>
          <w:rFonts w:cs="Arial"/>
          <w:noProof/>
          <w:szCs w:val="22"/>
        </w:rPr>
        <w:t>FSANZ (2017</w:t>
      </w:r>
      <w:r w:rsidR="00827179" w:rsidRPr="00E2010E">
        <w:rPr>
          <w:rFonts w:cs="Arial"/>
          <w:noProof/>
          <w:szCs w:val="22"/>
        </w:rPr>
        <w:t xml:space="preserve">) </w:t>
      </w:r>
      <w:r w:rsidR="004A54F6">
        <w:rPr>
          <w:rFonts w:cs="Arial"/>
          <w:noProof/>
          <w:szCs w:val="22"/>
        </w:rPr>
        <w:t>Nutrition risk assessment report (at approval)</w:t>
      </w:r>
      <w:r w:rsidR="00827179" w:rsidRPr="00E2010E">
        <w:rPr>
          <w:rFonts w:cs="Arial"/>
          <w:noProof/>
          <w:szCs w:val="22"/>
        </w:rPr>
        <w:t xml:space="preserve"> (A1</w:t>
      </w:r>
      <w:r w:rsidR="004A54F6">
        <w:rPr>
          <w:rFonts w:cs="Arial"/>
          <w:noProof/>
          <w:szCs w:val="22"/>
        </w:rPr>
        <w:t>143</w:t>
      </w:r>
      <w:r w:rsidR="00827179" w:rsidRPr="00E2010E">
        <w:rPr>
          <w:rFonts w:cs="Arial"/>
          <w:noProof/>
          <w:szCs w:val="22"/>
        </w:rPr>
        <w:t>)</w:t>
      </w:r>
      <w:r w:rsidR="00827179">
        <w:rPr>
          <w:rFonts w:cs="Arial"/>
          <w:noProof/>
          <w:szCs w:val="22"/>
        </w:rPr>
        <w:t>:</w:t>
      </w:r>
      <w:r w:rsidR="00827179" w:rsidRPr="00E2010E">
        <w:rPr>
          <w:rFonts w:cs="Arial"/>
          <w:noProof/>
          <w:szCs w:val="22"/>
        </w:rPr>
        <w:t xml:space="preserve"> </w:t>
      </w:r>
      <w:r w:rsidR="00827179">
        <w:rPr>
          <w:rFonts w:cs="Arial"/>
          <w:noProof/>
          <w:szCs w:val="22"/>
        </w:rPr>
        <w:t>s</w:t>
      </w:r>
      <w:r w:rsidR="00827179" w:rsidRPr="00E2010E">
        <w:rPr>
          <w:rFonts w:cs="Arial"/>
          <w:noProof/>
          <w:szCs w:val="22"/>
        </w:rPr>
        <w:t xml:space="preserve">upporting document </w:t>
      </w:r>
      <w:r w:rsidR="004A54F6" w:rsidRPr="000522D7">
        <w:rPr>
          <w:rFonts w:cs="Arial"/>
          <w:noProof/>
          <w:szCs w:val="22"/>
        </w:rPr>
        <w:t>2</w:t>
      </w:r>
      <w:r w:rsidR="00827179" w:rsidRPr="000522D7">
        <w:rPr>
          <w:rFonts w:cs="Arial"/>
          <w:noProof/>
          <w:szCs w:val="22"/>
        </w:rPr>
        <w:t>. F</w:t>
      </w:r>
      <w:r w:rsidR="001B226A">
        <w:rPr>
          <w:rFonts w:cs="Arial"/>
          <w:noProof/>
          <w:szCs w:val="22"/>
        </w:rPr>
        <w:t>ood Standards Australia New Zealand</w:t>
      </w:r>
      <w:r w:rsidR="00827179" w:rsidRPr="000522D7">
        <w:rPr>
          <w:rFonts w:cs="Arial"/>
          <w:noProof/>
          <w:szCs w:val="22"/>
        </w:rPr>
        <w:t>, Canberra.</w:t>
      </w:r>
      <w:r w:rsidR="004A54F6" w:rsidRPr="000522D7">
        <w:rPr>
          <w:rFonts w:cs="Arial"/>
          <w:noProof/>
          <w:szCs w:val="22"/>
        </w:rPr>
        <w:t xml:space="preserve"> </w:t>
      </w:r>
      <w:hyperlink r:id="rId26" w:history="1">
        <w:r w:rsidR="000F67EC" w:rsidRPr="007A08EA">
          <w:rPr>
            <w:rStyle w:val="Hyperlink"/>
            <w:rFonts w:cs="Arial"/>
            <w:noProof/>
            <w:szCs w:val="22"/>
          </w:rPr>
          <w:t>https://www.foodstandards.gov.au/code/applications/Documents/A1143_SD2%20at%20Approval_non-CCI.pdf</w:t>
        </w:r>
      </w:hyperlink>
    </w:p>
    <w:p w14:paraId="4DBCC759" w14:textId="27167836" w:rsidR="000522D7" w:rsidRPr="000522D7" w:rsidRDefault="000522D7" w:rsidP="00645494">
      <w:pPr>
        <w:pStyle w:val="CitaviBibliographyEntry"/>
        <w:spacing w:afterAutospacing="0"/>
        <w:ind w:left="0" w:firstLine="0"/>
        <w:rPr>
          <w:rFonts w:ascii="Arial" w:hAnsi="Arial" w:cs="Arial"/>
        </w:rPr>
      </w:pPr>
      <w:bookmarkStart w:id="113" w:name="_CTVL001a858df7074f8485795e05d0b33f87cd6"/>
      <w:r w:rsidRPr="000522D7">
        <w:rPr>
          <w:rFonts w:ascii="Arial" w:hAnsi="Arial" w:cs="Arial"/>
        </w:rPr>
        <w:t>Goyens PLL, Spilker ME, Zock PL, Katan MB, Mensink RP (2006) Conversion of alpha-linolenic acid in humans is influenced by the absolute amounts of alpha-linolenic acid and linoleic acid in the diet and not by their ra</w:t>
      </w:r>
      <w:r w:rsidR="001B226A">
        <w:rPr>
          <w:rFonts w:ascii="Arial" w:hAnsi="Arial" w:cs="Arial"/>
        </w:rPr>
        <w:t>tio. Am J Clin Nutr 84(1):44–53</w:t>
      </w:r>
    </w:p>
    <w:bookmarkEnd w:id="113"/>
    <w:p w14:paraId="302AC05A" w14:textId="045B74CC" w:rsidR="00FC30DF" w:rsidRDefault="00FC30DF" w:rsidP="00645494">
      <w:pPr>
        <w:pStyle w:val="CitaviBibliographyEntry"/>
        <w:spacing w:after="240" w:afterAutospacing="0"/>
        <w:ind w:left="0" w:firstLine="0"/>
        <w:rPr>
          <w:rFonts w:ascii="Arial" w:hAnsi="Arial" w:cs="Arial"/>
        </w:rPr>
      </w:pPr>
      <w:r w:rsidRPr="00FC30DF">
        <w:rPr>
          <w:rFonts w:ascii="Arial" w:hAnsi="Arial" w:cs="Arial"/>
        </w:rPr>
        <w:t>GRADE Working Group</w:t>
      </w:r>
      <w:r>
        <w:rPr>
          <w:rFonts w:ascii="Arial" w:hAnsi="Arial" w:cs="Arial"/>
        </w:rPr>
        <w:t xml:space="preserve"> (2004)</w:t>
      </w:r>
      <w:r w:rsidRPr="00FC30DF">
        <w:rPr>
          <w:rFonts w:ascii="Arial" w:hAnsi="Arial" w:cs="Arial"/>
        </w:rPr>
        <w:t xml:space="preserve"> Grading quality of evidence and</w:t>
      </w:r>
      <w:r w:rsidR="00135F3A">
        <w:rPr>
          <w:rFonts w:ascii="Arial" w:hAnsi="Arial" w:cs="Arial"/>
        </w:rPr>
        <w:t xml:space="preserve"> strength of </w:t>
      </w:r>
      <w:r>
        <w:rPr>
          <w:rFonts w:ascii="Arial" w:hAnsi="Arial" w:cs="Arial"/>
        </w:rPr>
        <w:t>recommendations. BMJ 328(7454):1490</w:t>
      </w:r>
    </w:p>
    <w:p w14:paraId="4D1FA53D" w14:textId="3663B39A" w:rsidR="000522D7" w:rsidRPr="000522D7" w:rsidRDefault="000522D7" w:rsidP="00645494">
      <w:pPr>
        <w:pStyle w:val="CitaviBibliographyEntry"/>
        <w:spacing w:before="0" w:beforeAutospacing="0" w:after="240" w:afterAutospacing="0"/>
        <w:ind w:left="0" w:firstLine="0"/>
        <w:rPr>
          <w:rFonts w:ascii="Arial" w:hAnsi="Arial" w:cs="Arial"/>
        </w:rPr>
      </w:pPr>
      <w:r w:rsidRPr="000522D7">
        <w:rPr>
          <w:rFonts w:ascii="Arial" w:hAnsi="Arial" w:cs="Arial"/>
        </w:rPr>
        <w:t>Harnack K, Andersen G, Somoza V (2009) Quantitation of alpha-linolenic acid elongation to eicosapentaenoic and docosahexaenoic acid as affected by the ratio of n6/n3 fatty acids. Nutr Metab (Lond) 6:8. doi: 10.1186/1743-7075-6-8</w:t>
      </w:r>
      <w:bookmarkStart w:id="114" w:name="_CTVL001077f522c8ab649869df22de66277c105"/>
    </w:p>
    <w:p w14:paraId="18349935" w14:textId="3735854C" w:rsidR="00540CAD" w:rsidRPr="00645494" w:rsidRDefault="000522D7" w:rsidP="00645494">
      <w:pPr>
        <w:pStyle w:val="CitaviBibliographyEntry"/>
        <w:spacing w:before="0" w:beforeAutospacing="0" w:after="240" w:afterAutospacing="0"/>
        <w:ind w:left="0" w:firstLine="0"/>
        <w:rPr>
          <w:rFonts w:ascii="Arial" w:hAnsi="Arial" w:cs="Arial"/>
        </w:rPr>
      </w:pPr>
      <w:r w:rsidRPr="000522D7">
        <w:rPr>
          <w:rFonts w:ascii="Arial" w:hAnsi="Arial" w:cs="Arial"/>
        </w:rPr>
        <w:t>Holman RT (1998) The slow discovery of the importance of omega 3 essential fatty acids in human health. J Nutr 128(2 Suppl):427–433</w:t>
      </w:r>
      <w:bookmarkEnd w:id="114"/>
    </w:p>
    <w:p w14:paraId="32CDE0A5" w14:textId="54863027" w:rsidR="00576471" w:rsidRPr="008F066A" w:rsidRDefault="00082701" w:rsidP="00645494">
      <w:pPr>
        <w:spacing w:after="240"/>
        <w:rPr>
          <w:rFonts w:cs="Arial"/>
          <w:szCs w:val="22"/>
          <w:lang w:bidi="ar-SA"/>
        </w:rPr>
      </w:pPr>
      <w:r w:rsidRPr="00CE0A58">
        <w:rPr>
          <w:rFonts w:cs="Arial"/>
          <w:szCs w:val="22"/>
        </w:rPr>
        <w:t xml:space="preserve">Lawson LD, Hughes BG (1988) Absorption of eicosapentaenoic acid and docosahexaenoic acid from fish oil </w:t>
      </w:r>
      <w:r w:rsidR="001837AA">
        <w:rPr>
          <w:rFonts w:cs="Arial"/>
          <w:szCs w:val="22"/>
        </w:rPr>
        <w:t>triacylglycerols</w:t>
      </w:r>
      <w:r w:rsidRPr="00CE0A58">
        <w:rPr>
          <w:rFonts w:cs="Arial"/>
          <w:szCs w:val="22"/>
        </w:rPr>
        <w:t xml:space="preserve"> or fish oil ethyl esters co-ingested with a high-fat meal. Biochemical and Biophysical</w:t>
      </w:r>
      <w:r>
        <w:t xml:space="preserve"> Research Communications 156(2):960–963. doi: 10.1016/S0006-291X(88)80937-9</w:t>
      </w:r>
    </w:p>
    <w:p w14:paraId="3E602807" w14:textId="1EFDC23E" w:rsidR="00AB10C8" w:rsidRDefault="00AB10C8" w:rsidP="00645494">
      <w:pPr>
        <w:spacing w:after="240"/>
        <w:rPr>
          <w:rFonts w:cs="Arial"/>
          <w:szCs w:val="22"/>
        </w:rPr>
      </w:pPr>
      <w:r>
        <w:rPr>
          <w:rFonts w:cs="Arial"/>
          <w:szCs w:val="22"/>
        </w:rPr>
        <w:t xml:space="preserve">Middleton P, Gomersall JC, Gould JF, Shepherd E, Olsen SF, Makrides </w:t>
      </w:r>
      <w:r w:rsidRPr="00AB10C8">
        <w:rPr>
          <w:rFonts w:cs="Arial"/>
          <w:szCs w:val="22"/>
        </w:rPr>
        <w:t>M</w:t>
      </w:r>
      <w:r>
        <w:rPr>
          <w:rFonts w:cs="Arial"/>
          <w:szCs w:val="22"/>
        </w:rPr>
        <w:t xml:space="preserve"> (2018) </w:t>
      </w:r>
      <w:r w:rsidRPr="00AB10C8">
        <w:rPr>
          <w:rFonts w:cs="Arial"/>
          <w:szCs w:val="22"/>
        </w:rPr>
        <w:t xml:space="preserve">Omega-3 fatty </w:t>
      </w:r>
      <w:r>
        <w:rPr>
          <w:rFonts w:cs="Arial"/>
          <w:szCs w:val="22"/>
        </w:rPr>
        <w:t xml:space="preserve">acid addition during pregnancy. </w:t>
      </w:r>
      <w:r w:rsidRPr="00AB10C8">
        <w:rPr>
          <w:rFonts w:cs="Arial"/>
          <w:szCs w:val="22"/>
        </w:rPr>
        <w:t>Cochrane Database o</w:t>
      </w:r>
      <w:r>
        <w:rPr>
          <w:rFonts w:cs="Arial"/>
          <w:szCs w:val="22"/>
        </w:rPr>
        <w:t>f Systematic Reviews</w:t>
      </w:r>
      <w:r w:rsidRPr="00AB10C8">
        <w:rPr>
          <w:rFonts w:cs="Arial"/>
          <w:szCs w:val="22"/>
        </w:rPr>
        <w:t>, Issue</w:t>
      </w:r>
      <w:r>
        <w:rPr>
          <w:rFonts w:cs="Arial"/>
          <w:szCs w:val="22"/>
        </w:rPr>
        <w:t xml:space="preserve"> 11. Art. No.: CD003402. doi</w:t>
      </w:r>
      <w:r w:rsidRPr="00AB10C8">
        <w:rPr>
          <w:rFonts w:cs="Arial"/>
          <w:szCs w:val="22"/>
        </w:rPr>
        <w:t>:</w:t>
      </w:r>
      <w:r>
        <w:rPr>
          <w:rFonts w:cs="Arial"/>
          <w:szCs w:val="22"/>
        </w:rPr>
        <w:t xml:space="preserve"> 10.1002/14651858.CD003402.pub3</w:t>
      </w:r>
    </w:p>
    <w:p w14:paraId="353C2743" w14:textId="7FD8B065" w:rsidR="004976A9" w:rsidRPr="00645494" w:rsidRDefault="00A145CE" w:rsidP="00645494">
      <w:pPr>
        <w:spacing w:after="240"/>
        <w:rPr>
          <w:rFonts w:eastAsia="Calibri" w:cs="Arial"/>
          <w:color w:val="3333FF"/>
          <w:szCs w:val="22"/>
          <w:u w:val="single"/>
          <w:lang w:bidi="ar-SA"/>
        </w:rPr>
      </w:pPr>
      <w:r w:rsidRPr="008F7336">
        <w:rPr>
          <w:rFonts w:eastAsia="Calibri" w:cs="Arial"/>
          <w:szCs w:val="22"/>
          <w:lang w:bidi="ar-SA"/>
        </w:rPr>
        <w:t xml:space="preserve">Ministry of Health (2003) NZ Food NZ Children: Key results of the 2002 National Children's Nutrition Survey. Ministry of Health, Wellington. </w:t>
      </w:r>
      <w:hyperlink r:id="rId27" w:history="1">
        <w:r w:rsidRPr="008F7336">
          <w:rPr>
            <w:rStyle w:val="Hyperlink"/>
            <w:rFonts w:eastAsia="Calibri" w:cs="Arial"/>
            <w:szCs w:val="22"/>
            <w:lang w:bidi="ar-SA"/>
          </w:rPr>
          <w:t>https://www.health.govt.nz/system/files/documents/publications/nzfoodnzchildren.pdf</w:t>
        </w:r>
      </w:hyperlink>
    </w:p>
    <w:p w14:paraId="5EAD7476" w14:textId="77777777" w:rsidR="004976A9" w:rsidRDefault="004976A9" w:rsidP="004976A9">
      <w:pPr>
        <w:tabs>
          <w:tab w:val="left" w:pos="0"/>
        </w:tabs>
        <w:spacing w:after="240"/>
        <w:rPr>
          <w:rFonts w:cs="Arial"/>
          <w:noProof/>
        </w:rPr>
      </w:pPr>
      <w:r>
        <w:rPr>
          <w:rFonts w:cs="Arial"/>
          <w:noProof/>
        </w:rPr>
        <w:t>Ministry of Health (2005) 2002 National Children's Nutrition Survey: National Confidentialised Unit Record File (CURF) User Document. Ministry of Health, Wellington</w:t>
      </w:r>
    </w:p>
    <w:p w14:paraId="3F59C86E" w14:textId="77777777" w:rsidR="004976A9" w:rsidRDefault="004976A9" w:rsidP="004976A9">
      <w:pPr>
        <w:tabs>
          <w:tab w:val="left" w:pos="0"/>
        </w:tabs>
        <w:spacing w:after="240"/>
        <w:rPr>
          <w:rFonts w:cs="Arial"/>
          <w:noProof/>
        </w:rPr>
      </w:pPr>
      <w:r>
        <w:rPr>
          <w:rFonts w:cs="Arial"/>
          <w:noProof/>
        </w:rPr>
        <w:t>Ministry of Health (2011a) Methodology report for the 2008/09 New Zealand Adult Nutrition Survey. Ministry of Health, Wellington</w:t>
      </w:r>
    </w:p>
    <w:p w14:paraId="72145850" w14:textId="0CAC668B" w:rsidR="00A145CE" w:rsidRDefault="004976A9" w:rsidP="00645494">
      <w:pPr>
        <w:tabs>
          <w:tab w:val="left" w:pos="0"/>
        </w:tabs>
        <w:spacing w:after="240"/>
        <w:rPr>
          <w:rFonts w:cs="Arial"/>
          <w:szCs w:val="22"/>
        </w:rPr>
      </w:pPr>
      <w:r>
        <w:rPr>
          <w:rFonts w:cs="Arial"/>
          <w:noProof/>
        </w:rPr>
        <w:t>Ministry of Health (2011b) A focus on nutrition: Key findings of the 2008/09 New Zealand Adult Nutrition Survey. Ministry of Health, Wellington</w:t>
      </w:r>
    </w:p>
    <w:p w14:paraId="73660FA1" w14:textId="6547D337" w:rsidR="00827179" w:rsidRDefault="00827179" w:rsidP="00645494">
      <w:pPr>
        <w:spacing w:before="240" w:after="240"/>
        <w:rPr>
          <w:rFonts w:cs="Arial"/>
          <w:szCs w:val="22"/>
        </w:rPr>
      </w:pPr>
      <w:r w:rsidRPr="008F066A">
        <w:rPr>
          <w:rFonts w:cs="Arial"/>
          <w:szCs w:val="22"/>
        </w:rPr>
        <w:t>NHMRC, Australian Government Department of Health and Ageing, New Zealand Ministry of Health (2006). Nutrient reference values for Australia and New Zealand. N</w:t>
      </w:r>
      <w:r w:rsidR="005D13A9">
        <w:rPr>
          <w:rFonts w:cs="Arial"/>
          <w:szCs w:val="22"/>
        </w:rPr>
        <w:t>ational Health and Medical Research Council</w:t>
      </w:r>
      <w:r w:rsidRPr="008F066A">
        <w:rPr>
          <w:rFonts w:cs="Arial"/>
          <w:szCs w:val="22"/>
        </w:rPr>
        <w:t>, Canberra.</w:t>
      </w:r>
    </w:p>
    <w:p w14:paraId="59AD1BA2" w14:textId="7636CC93" w:rsidR="00CA2BE1" w:rsidRPr="00645494" w:rsidRDefault="00CA2BE1" w:rsidP="00645494">
      <w:pPr>
        <w:spacing w:before="240" w:after="240"/>
        <w:rPr>
          <w:rFonts w:cs="Arial"/>
          <w:szCs w:val="22"/>
        </w:rPr>
      </w:pPr>
      <w:r w:rsidRPr="00CA2BE1">
        <w:rPr>
          <w:szCs w:val="22"/>
        </w:rPr>
        <w:t>OECD (2011) Revised consensus document on compositional considera</w:t>
      </w:r>
      <w:r>
        <w:rPr>
          <w:szCs w:val="22"/>
        </w:rPr>
        <w:t xml:space="preserve">tions for new varieties of low </w:t>
      </w:r>
      <w:r w:rsidRPr="00CA2BE1">
        <w:rPr>
          <w:szCs w:val="22"/>
        </w:rPr>
        <w:t>erucic acid rapeseed (canola): key food and feed nutrients,</w:t>
      </w:r>
      <w:r>
        <w:rPr>
          <w:szCs w:val="22"/>
        </w:rPr>
        <w:t xml:space="preserve"> anti-nutrients and toxicants. </w:t>
      </w:r>
      <w:r w:rsidRPr="00CA2BE1">
        <w:rPr>
          <w:szCs w:val="22"/>
        </w:rPr>
        <w:t>ENV/JM/MONO(2011)55. Organizatio</w:t>
      </w:r>
      <w:r>
        <w:rPr>
          <w:szCs w:val="22"/>
        </w:rPr>
        <w:t xml:space="preserve">n for Economic Co-operation and </w:t>
      </w:r>
      <w:r w:rsidRPr="00CA2BE1">
        <w:rPr>
          <w:szCs w:val="22"/>
        </w:rPr>
        <w:t xml:space="preserve">Development, Paris. </w:t>
      </w:r>
      <w:hyperlink r:id="rId28" w:history="1">
        <w:r w:rsidRPr="009E1887">
          <w:rPr>
            <w:rStyle w:val="Hyperlink"/>
            <w:szCs w:val="22"/>
          </w:rPr>
          <w:t>https://www.oecd.org/env/ehs/biotrack/49343153.pdf</w:t>
        </w:r>
      </w:hyperlink>
    </w:p>
    <w:p w14:paraId="72786207" w14:textId="24DD8F46" w:rsidR="00B71ED9" w:rsidRPr="00645494" w:rsidRDefault="000522D7" w:rsidP="00645494">
      <w:pPr>
        <w:pStyle w:val="CitaviBibliographyEntry"/>
        <w:spacing w:before="0" w:beforeAutospacing="0" w:after="240" w:afterAutospacing="0"/>
        <w:ind w:left="0" w:firstLine="0"/>
        <w:contextualSpacing/>
        <w:rPr>
          <w:rFonts w:ascii="Arial" w:hAnsi="Arial" w:cs="Arial"/>
        </w:rPr>
      </w:pPr>
      <w:r w:rsidRPr="000522D7">
        <w:rPr>
          <w:rFonts w:ascii="Arial" w:hAnsi="Arial" w:cs="Arial"/>
        </w:rPr>
        <w:lastRenderedPageBreak/>
        <w:t>Plourde M, Cunnane SC (2007) Extremely limited synthesis of long chain polyunsaturates in adults: implications for their dietary essentiality and use as supplements. Appl Physiol Nutr Metab 32(4):619–634. doi: 10.1139/H07-034</w:t>
      </w:r>
    </w:p>
    <w:p w14:paraId="17C4A689" w14:textId="19DEBF3C" w:rsidR="00A145CE" w:rsidRDefault="00247085" w:rsidP="00645494">
      <w:pPr>
        <w:spacing w:after="240"/>
        <w:contextualSpacing/>
        <w:rPr>
          <w:rFonts w:eastAsia="Calibri"/>
          <w:szCs w:val="22"/>
        </w:rPr>
      </w:pPr>
      <w:r>
        <w:rPr>
          <w:rFonts w:eastAsia="Calibri" w:cs="Arial"/>
          <w:szCs w:val="22"/>
          <w:lang w:bidi="ar-SA"/>
        </w:rPr>
        <w:t>Reuss</w:t>
      </w:r>
      <w:r w:rsidR="00A145CE" w:rsidRPr="008F7336">
        <w:rPr>
          <w:rFonts w:eastAsia="Calibri" w:cs="Arial"/>
          <w:szCs w:val="22"/>
          <w:lang w:bidi="ar-SA"/>
        </w:rPr>
        <w:t xml:space="preserve"> R, McKague</w:t>
      </w:r>
      <w:r>
        <w:rPr>
          <w:rFonts w:eastAsia="Calibri" w:cs="Arial"/>
          <w:szCs w:val="22"/>
          <w:lang w:bidi="ar-SA"/>
        </w:rPr>
        <w:t xml:space="preserve"> E</w:t>
      </w:r>
      <w:r w:rsidR="00A145CE" w:rsidRPr="008F7336">
        <w:rPr>
          <w:rFonts w:eastAsia="Calibri" w:cs="Arial"/>
          <w:szCs w:val="22"/>
          <w:lang w:bidi="ar-SA"/>
        </w:rPr>
        <w:t>, Webb</w:t>
      </w:r>
      <w:r>
        <w:rPr>
          <w:rFonts w:eastAsia="Calibri" w:cs="Arial"/>
          <w:szCs w:val="22"/>
          <w:lang w:bidi="ar-SA"/>
        </w:rPr>
        <w:t xml:space="preserve"> T</w:t>
      </w:r>
      <w:r w:rsidR="00A145CE" w:rsidRPr="008F7336">
        <w:rPr>
          <w:rFonts w:eastAsia="Calibri" w:cs="Arial"/>
          <w:szCs w:val="22"/>
          <w:lang w:bidi="ar-SA"/>
        </w:rPr>
        <w:t>, Cunningham</w:t>
      </w:r>
      <w:r>
        <w:rPr>
          <w:rFonts w:eastAsia="Calibri" w:cs="Arial"/>
          <w:szCs w:val="22"/>
          <w:lang w:bidi="ar-SA"/>
        </w:rPr>
        <w:t xml:space="preserve"> J</w:t>
      </w:r>
      <w:r w:rsidR="00A145CE" w:rsidRPr="008F7336">
        <w:rPr>
          <w:rFonts w:eastAsia="Calibri" w:cs="Arial"/>
          <w:szCs w:val="22"/>
          <w:lang w:bidi="ar-SA"/>
        </w:rPr>
        <w:t>,</w:t>
      </w:r>
      <w:r w:rsidR="00A145CE">
        <w:rPr>
          <w:rFonts w:eastAsia="Calibri" w:cs="Arial"/>
          <w:szCs w:val="22"/>
          <w:lang w:bidi="ar-SA"/>
        </w:rPr>
        <w:t xml:space="preserve"> </w:t>
      </w:r>
      <w:r w:rsidR="00A145CE" w:rsidRPr="008F7336">
        <w:rPr>
          <w:rFonts w:eastAsia="Calibri" w:cs="Arial"/>
          <w:szCs w:val="22"/>
          <w:lang w:bidi="ar-SA"/>
        </w:rPr>
        <w:t>Joseph</w:t>
      </w:r>
      <w:r>
        <w:rPr>
          <w:rFonts w:eastAsia="Calibri" w:cs="Arial"/>
          <w:szCs w:val="22"/>
          <w:lang w:bidi="ar-SA"/>
        </w:rPr>
        <w:t xml:space="preserve"> B</w:t>
      </w:r>
      <w:r w:rsidR="00A145CE" w:rsidRPr="008F7336">
        <w:rPr>
          <w:rFonts w:eastAsia="Calibri" w:cs="Arial"/>
          <w:szCs w:val="22"/>
          <w:lang w:bidi="ar-SA"/>
        </w:rPr>
        <w:t>, Thoma</w:t>
      </w:r>
      <w:r>
        <w:rPr>
          <w:rFonts w:eastAsia="Calibri" w:cs="Arial"/>
          <w:szCs w:val="22"/>
          <w:lang w:bidi="ar-SA"/>
        </w:rPr>
        <w:t xml:space="preserve"> C, Venn B</w:t>
      </w:r>
      <w:r w:rsidR="00A145CE" w:rsidRPr="008F7336">
        <w:rPr>
          <w:rFonts w:eastAsia="Calibri" w:cs="Arial"/>
          <w:szCs w:val="22"/>
          <w:lang w:bidi="ar-SA"/>
        </w:rPr>
        <w:t xml:space="preserve"> </w:t>
      </w:r>
      <w:r w:rsidR="00A145CE">
        <w:rPr>
          <w:rFonts w:eastAsia="Calibri" w:cs="Arial"/>
          <w:szCs w:val="22"/>
          <w:lang w:bidi="ar-SA"/>
        </w:rPr>
        <w:t>&amp;</w:t>
      </w:r>
      <w:r w:rsidR="00A145CE" w:rsidRPr="008F7336">
        <w:rPr>
          <w:rFonts w:eastAsia="Calibri" w:cs="Arial"/>
          <w:szCs w:val="22"/>
          <w:lang w:bidi="ar-SA"/>
        </w:rPr>
        <w:t xml:space="preserve"> Mackerras</w:t>
      </w:r>
      <w:r w:rsidR="00A145CE">
        <w:rPr>
          <w:rFonts w:eastAsia="Calibri" w:cs="Arial"/>
          <w:szCs w:val="22"/>
          <w:lang w:bidi="ar-SA"/>
        </w:rPr>
        <w:t xml:space="preserve"> D</w:t>
      </w:r>
      <w:r>
        <w:rPr>
          <w:rFonts w:eastAsia="Calibri" w:cs="Arial"/>
          <w:szCs w:val="22"/>
          <w:lang w:bidi="ar-SA"/>
        </w:rPr>
        <w:t xml:space="preserve"> (2009)</w:t>
      </w:r>
      <w:r w:rsidR="00D90F7C">
        <w:rPr>
          <w:rFonts w:eastAsia="Calibri" w:cs="Arial"/>
          <w:szCs w:val="22"/>
          <w:lang w:bidi="ar-SA"/>
        </w:rPr>
        <w:t xml:space="preserve"> </w:t>
      </w:r>
      <w:r w:rsidR="00A145CE" w:rsidRPr="008F7336">
        <w:rPr>
          <w:rFonts w:eastAsia="Calibri" w:cs="Arial"/>
          <w:szCs w:val="22"/>
          <w:lang w:bidi="ar-SA"/>
        </w:rPr>
        <w:t>Trans fatty acid</w:t>
      </w:r>
      <w:r w:rsidR="00D90F7C">
        <w:rPr>
          <w:rFonts w:eastAsia="Calibri" w:cs="Arial"/>
          <w:szCs w:val="22"/>
          <w:lang w:bidi="ar-SA"/>
        </w:rPr>
        <w:t>s in Australia and New Zealand.</w:t>
      </w:r>
      <w:r w:rsidR="00A145CE" w:rsidRPr="008F7336">
        <w:rPr>
          <w:rFonts w:eastAsia="Calibri" w:cs="Arial"/>
          <w:szCs w:val="22"/>
          <w:lang w:bidi="ar-SA"/>
        </w:rPr>
        <w:t> Australasian</w:t>
      </w:r>
      <w:r>
        <w:rPr>
          <w:rFonts w:eastAsia="Calibri" w:cs="Arial"/>
          <w:szCs w:val="22"/>
          <w:lang w:bidi="ar-SA"/>
        </w:rPr>
        <w:t xml:space="preserve"> Epidemiologist 16, no. 1</w:t>
      </w:r>
      <w:r w:rsidR="00A145CE" w:rsidRPr="008F7336">
        <w:rPr>
          <w:rFonts w:eastAsia="Calibri" w:cs="Arial"/>
          <w:szCs w:val="22"/>
          <w:lang w:bidi="ar-SA"/>
        </w:rPr>
        <w:t>: 20-22</w:t>
      </w:r>
    </w:p>
    <w:p w14:paraId="631C0C81" w14:textId="0E2F5E4F" w:rsidR="00F92A46" w:rsidRPr="005729A3" w:rsidRDefault="00082701" w:rsidP="00645494">
      <w:pPr>
        <w:spacing w:after="240"/>
        <w:rPr>
          <w:rFonts w:cs="Arial"/>
          <w:szCs w:val="22"/>
        </w:rPr>
      </w:pPr>
      <w:r w:rsidRPr="00B71ED9">
        <w:rPr>
          <w:rFonts w:cs="Arial"/>
          <w:szCs w:val="22"/>
        </w:rPr>
        <w:t>Schuchardt JP, Hahn A (2013) Bioavailability of long-chain omega-3 fatty acids. Prostaglandins Leukot Essent Fatty Acids 89(1):1–8. doi: 10.1016/j.plefa.2013.03.010</w:t>
      </w:r>
      <w:bookmarkStart w:id="115" w:name="_CTVL00171802ea718654bf5ab2e78354e6d5834"/>
    </w:p>
    <w:p w14:paraId="6F5CCFC3" w14:textId="18F3D380" w:rsidR="000522D7" w:rsidRPr="00645494" w:rsidRDefault="000522D7" w:rsidP="00645494">
      <w:pPr>
        <w:pStyle w:val="CitaviBibliographyEntry"/>
        <w:spacing w:before="0" w:beforeAutospacing="0" w:after="240" w:afterAutospacing="0"/>
        <w:ind w:left="0" w:firstLine="0"/>
        <w:rPr>
          <w:rFonts w:ascii="Arial" w:hAnsi="Arial" w:cs="Arial"/>
        </w:rPr>
      </w:pPr>
      <w:r w:rsidRPr="000522D7">
        <w:rPr>
          <w:rFonts w:ascii="Arial" w:hAnsi="Arial" w:cs="Arial"/>
        </w:rPr>
        <w:t>Simopoulos AP (1991) Omega-3 fatty acids in health and disease and in growth and development. Am J Clin Nutr 54(3):438–463</w:t>
      </w:r>
      <w:bookmarkEnd w:id="115"/>
    </w:p>
    <w:p w14:paraId="3DC926DB" w14:textId="09288E96" w:rsidR="000522D7" w:rsidRPr="000522D7" w:rsidRDefault="000522D7" w:rsidP="00645494">
      <w:pPr>
        <w:pStyle w:val="CitaviBibliographyEntry"/>
        <w:spacing w:before="0" w:beforeAutospacing="0" w:after="240" w:afterAutospacing="0"/>
        <w:ind w:left="0" w:firstLine="0"/>
        <w:rPr>
          <w:rFonts w:ascii="Arial" w:hAnsi="Arial" w:cs="Arial"/>
        </w:rPr>
      </w:pPr>
      <w:r w:rsidRPr="000522D7">
        <w:rPr>
          <w:rFonts w:ascii="Arial" w:hAnsi="Arial" w:cs="Arial"/>
        </w:rPr>
        <w:t>Tinoco J (1982) Dietary requirements and functions of alpha-linolenic acid in animals. Prog Lipid Res 21(1):1–45</w:t>
      </w:r>
      <w:bookmarkStart w:id="116" w:name="_CTVL001ef842126725a4046abb62c67cf596ac8"/>
    </w:p>
    <w:p w14:paraId="679A4CA7" w14:textId="4DD187E1" w:rsidR="006E7723" w:rsidRPr="00645494" w:rsidRDefault="007A3146" w:rsidP="00645494">
      <w:pPr>
        <w:pStyle w:val="CitaviBibliographyEntry"/>
        <w:spacing w:before="0" w:beforeAutospacing="0" w:after="240" w:afterAutospacing="0"/>
        <w:ind w:left="0" w:firstLine="0"/>
        <w:rPr>
          <w:rFonts w:ascii="Arial" w:hAnsi="Arial" w:cs="Arial"/>
        </w:rPr>
      </w:pPr>
      <w:r w:rsidRPr="000522D7">
        <w:rPr>
          <w:rFonts w:ascii="Arial" w:hAnsi="Arial" w:cs="Arial"/>
        </w:rPr>
        <w:t>US FDA (1997) Substances affirmed as generally recognized as safe: menhaden oil. Vol. 62, No. 108: pp 30751-30757. 21 CFR Part 184 [Docket No. 86G-0289]. Federal Register, vol 62</w:t>
      </w:r>
      <w:bookmarkEnd w:id="116"/>
    </w:p>
    <w:p w14:paraId="28EF4906" w14:textId="45968919" w:rsidR="006E7723" w:rsidRPr="00C32B56" w:rsidRDefault="00A145CE" w:rsidP="006E7723">
      <w:pPr>
        <w:widowControl/>
        <w:rPr>
          <w:rFonts w:cs="Arial"/>
          <w:szCs w:val="22"/>
        </w:rPr>
      </w:pPr>
      <w:r w:rsidRPr="008F7336">
        <w:rPr>
          <w:rFonts w:eastAsia="Calibri" w:cs="Arial"/>
          <w:szCs w:val="22"/>
          <w:lang w:bidi="ar-SA"/>
        </w:rPr>
        <w:t>W</w:t>
      </w:r>
      <w:r w:rsidR="004E7E38">
        <w:rPr>
          <w:rFonts w:eastAsia="Calibri" w:cs="Arial"/>
          <w:szCs w:val="22"/>
          <w:lang w:bidi="ar-SA"/>
        </w:rPr>
        <w:t>HO</w:t>
      </w:r>
      <w:r w:rsidRPr="008F7336">
        <w:rPr>
          <w:rFonts w:eastAsia="Calibri" w:cs="Arial"/>
          <w:szCs w:val="22"/>
          <w:lang w:bidi="ar-SA"/>
        </w:rPr>
        <w:t xml:space="preserve"> (2018) Draft guidelines on saturated fatty acid and trans-fatty acid intake for adults and children. World Health Organization, 103. </w:t>
      </w:r>
      <w:hyperlink r:id="rId29" w:history="1">
        <w:r w:rsidRPr="008F7336">
          <w:rPr>
            <w:rStyle w:val="Hyperlink"/>
            <w:rFonts w:eastAsia="Calibri" w:cs="Arial"/>
            <w:szCs w:val="22"/>
            <w:lang w:bidi="ar-SA"/>
          </w:rPr>
          <w:t>https://extranet.who.int/dataform/upload/surveys/666752/files/Draft%20WHO%20SFA-TFA%20guidelines_04052018%20Public%20Consultation(1).pdf</w:t>
        </w:r>
      </w:hyperlink>
    </w:p>
    <w:p w14:paraId="1E5CA002" w14:textId="77777777" w:rsidR="00C32B56" w:rsidRPr="00C32B56" w:rsidRDefault="00C32B56" w:rsidP="00C32B56">
      <w:pPr>
        <w:widowControl/>
        <w:rPr>
          <w:rFonts w:cs="Arial"/>
          <w:szCs w:val="22"/>
        </w:rPr>
      </w:pPr>
    </w:p>
    <w:p w14:paraId="0F78CB26" w14:textId="77777777" w:rsidR="00661147" w:rsidRDefault="00661147">
      <w:pPr>
        <w:widowControl/>
        <w:rPr>
          <w:rFonts w:cs="Arial"/>
          <w:szCs w:val="22"/>
        </w:rPr>
        <w:sectPr w:rsidR="00661147" w:rsidSect="00536E01">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418" w:header="709" w:footer="709" w:gutter="0"/>
          <w:cols w:space="708"/>
          <w:docGrid w:linePitch="360"/>
        </w:sectPr>
      </w:pPr>
    </w:p>
    <w:p w14:paraId="7B42F67D" w14:textId="035D80CE" w:rsidR="00661147" w:rsidRPr="008C1781" w:rsidRDefault="00F73311" w:rsidP="00645494">
      <w:pPr>
        <w:pStyle w:val="Heading1"/>
      </w:pPr>
      <w:bookmarkStart w:id="117" w:name="_Ref102028928"/>
      <w:bookmarkStart w:id="118" w:name="_Toc102573442"/>
      <w:bookmarkStart w:id="119" w:name="_Ref483835286"/>
      <w:r w:rsidRPr="008C1781">
        <w:lastRenderedPageBreak/>
        <w:t>Appendix 1</w:t>
      </w:r>
      <w:r>
        <w:t xml:space="preserve">: </w:t>
      </w:r>
      <w:r w:rsidRPr="00C56A11">
        <w:t xml:space="preserve">Estimated dietary intakes of n-3 LC-PUFA for Australian </w:t>
      </w:r>
      <w:r>
        <w:t xml:space="preserve">and New Zealand </w:t>
      </w:r>
      <w:r w:rsidRPr="00C56A11">
        <w:t>population groups</w:t>
      </w:r>
      <w:r>
        <w:t xml:space="preserve"> under different scen</w:t>
      </w:r>
      <w:r w:rsidR="004B0630">
        <w:t>a</w:t>
      </w:r>
      <w:r>
        <w:t>rios.</w:t>
      </w:r>
      <w:bookmarkEnd w:id="117"/>
      <w:bookmarkEnd w:id="118"/>
    </w:p>
    <w:p w14:paraId="66F9D8AB" w14:textId="1B970774" w:rsidR="00F73311" w:rsidRPr="00645494" w:rsidRDefault="005D5D89" w:rsidP="00645494">
      <w:pPr>
        <w:pStyle w:val="FSTableTitle"/>
        <w:spacing w:after="240"/>
      </w:pPr>
      <w:r>
        <w:t>Table A</w:t>
      </w:r>
      <w:r w:rsidR="004B0630">
        <w:t>:</w:t>
      </w:r>
      <w:r w:rsidR="00F73311">
        <w:t xml:space="preserve"> </w:t>
      </w:r>
      <w:r w:rsidR="00F73311" w:rsidRPr="00C56A11">
        <w:t xml:space="preserve">Estimated dietary intakes of n-3 LC-PUFA for Australian population groups assuming that all conventional canola in the food supply will be replaced by </w:t>
      </w:r>
      <w:r w:rsidR="00F73311">
        <w:t>LFBLFK</w:t>
      </w:r>
      <w:r w:rsidR="00F73311" w:rsidRPr="00C56A11">
        <w:t xml:space="preserve"> canola oil (Scenario 1)</w:t>
      </w:r>
      <w:bookmarkStart w:id="120" w:name="_Ref483837818"/>
      <w:bookmarkEnd w:id="119"/>
    </w:p>
    <w:tbl>
      <w:tblPr>
        <w:tblW w:w="4962" w:type="pct"/>
        <w:tblLook w:val="04A0" w:firstRow="1" w:lastRow="0" w:firstColumn="1" w:lastColumn="0" w:noHBand="0" w:noVBand="1"/>
        <w:tblCaption w:val="Table 2 Estimated dietary intakes of n-3 LC-PUFA for Australian population groups assuming that all conventional canola in the food supply will be replaced by DHA canola oil (Scenario 1)"/>
        <w:tblDescription w:val="Table 2 Estimated dietary intakes of n-3 LC-PUFA for Australian population groups assuming that all conventional canola in the food supply will be replaced by DHA canola oil (Scenario 1)"/>
      </w:tblPr>
      <w:tblGrid>
        <w:gridCol w:w="1346"/>
        <w:gridCol w:w="1347"/>
        <w:gridCol w:w="2469"/>
        <w:gridCol w:w="3083"/>
        <w:gridCol w:w="2469"/>
        <w:gridCol w:w="1933"/>
        <w:gridCol w:w="1239"/>
      </w:tblGrid>
      <w:tr w:rsidR="00F73311" w:rsidRPr="002F400D" w14:paraId="3DFFF4C5" w14:textId="77777777" w:rsidTr="00CE0F20">
        <w:trPr>
          <w:trHeight w:val="1200"/>
        </w:trPr>
        <w:tc>
          <w:tcPr>
            <w:tcW w:w="485" w:type="pct"/>
            <w:tcBorders>
              <w:top w:val="single" w:sz="4" w:space="0" w:color="auto"/>
              <w:left w:val="single" w:sz="4" w:space="0" w:color="auto"/>
              <w:bottom w:val="single" w:sz="4" w:space="0" w:color="auto"/>
              <w:right w:val="single" w:sz="4" w:space="0" w:color="auto"/>
            </w:tcBorders>
            <w:shd w:val="clear" w:color="auto" w:fill="9BBB59" w:themeFill="accent3"/>
            <w:noWrap/>
            <w:hideMark/>
          </w:tcPr>
          <w:p w14:paraId="5A579D69" w14:textId="70673C91" w:rsidR="00511F2C" w:rsidRDefault="00F73311" w:rsidP="00511F2C">
            <w:pPr>
              <w:jc w:val="center"/>
              <w:rPr>
                <w:b/>
                <w:lang w:bidi="ar-SA"/>
              </w:rPr>
            </w:pPr>
            <w:r w:rsidRPr="002F400D">
              <w:rPr>
                <w:b/>
                <w:lang w:bidi="ar-SA"/>
              </w:rPr>
              <w:t>Age</w:t>
            </w:r>
            <w:r w:rsidR="00511F2C">
              <w:rPr>
                <w:b/>
                <w:lang w:bidi="ar-SA"/>
              </w:rPr>
              <w:t xml:space="preserve"> group</w:t>
            </w:r>
          </w:p>
          <w:p w14:paraId="19FA042C" w14:textId="644230D1" w:rsidR="00F73311" w:rsidRPr="002F400D" w:rsidRDefault="00511F2C" w:rsidP="00511F2C">
            <w:pPr>
              <w:jc w:val="center"/>
              <w:rPr>
                <w:b/>
                <w:lang w:bidi="ar-SA"/>
              </w:rPr>
            </w:pPr>
            <w:r>
              <w:rPr>
                <w:b/>
                <w:lang w:bidi="ar-SA"/>
              </w:rPr>
              <w:t>(years)</w:t>
            </w:r>
          </w:p>
        </w:tc>
        <w:tc>
          <w:tcPr>
            <w:tcW w:w="485" w:type="pct"/>
            <w:tcBorders>
              <w:top w:val="single" w:sz="4" w:space="0" w:color="auto"/>
              <w:left w:val="nil"/>
              <w:bottom w:val="single" w:sz="4" w:space="0" w:color="auto"/>
              <w:right w:val="single" w:sz="4" w:space="0" w:color="auto"/>
            </w:tcBorders>
            <w:shd w:val="clear" w:color="auto" w:fill="9BBB59" w:themeFill="accent3"/>
            <w:noWrap/>
            <w:hideMark/>
          </w:tcPr>
          <w:p w14:paraId="277EBC9D" w14:textId="77777777" w:rsidR="00F73311" w:rsidRPr="002F400D" w:rsidRDefault="00F73311" w:rsidP="00511F2C">
            <w:pPr>
              <w:jc w:val="center"/>
              <w:rPr>
                <w:b/>
                <w:lang w:bidi="ar-SA"/>
              </w:rPr>
            </w:pPr>
            <w:r w:rsidRPr="002F400D">
              <w:rPr>
                <w:b/>
                <w:lang w:bidi="ar-SA"/>
              </w:rPr>
              <w:t>Sex</w:t>
            </w:r>
          </w:p>
        </w:tc>
        <w:tc>
          <w:tcPr>
            <w:tcW w:w="889" w:type="pct"/>
            <w:tcBorders>
              <w:top w:val="single" w:sz="4" w:space="0" w:color="auto"/>
              <w:left w:val="nil"/>
              <w:bottom w:val="single" w:sz="4" w:space="0" w:color="auto"/>
              <w:right w:val="single" w:sz="4" w:space="0" w:color="auto"/>
            </w:tcBorders>
            <w:shd w:val="clear" w:color="auto" w:fill="9BBB59" w:themeFill="accent3"/>
            <w:hideMark/>
          </w:tcPr>
          <w:p w14:paraId="4416A874" w14:textId="2EE3105A" w:rsidR="00F73311" w:rsidRPr="002F400D" w:rsidRDefault="00F73311" w:rsidP="00151225">
            <w:pPr>
              <w:jc w:val="center"/>
              <w:rPr>
                <w:b/>
                <w:lang w:bidi="ar-SA"/>
              </w:rPr>
            </w:pPr>
            <w:r w:rsidRPr="002F400D">
              <w:rPr>
                <w:b/>
                <w:lang w:bidi="ar-SA"/>
              </w:rPr>
              <w:t xml:space="preserve">Mean canola oil consumption </w:t>
            </w:r>
            <w:r w:rsidR="00D95CC4">
              <w:rPr>
                <w:b/>
                <w:lang w:bidi="ar-SA"/>
              </w:rPr>
              <w:t>(</w:t>
            </w:r>
            <w:r w:rsidRPr="002F400D">
              <w:rPr>
                <w:b/>
                <w:lang w:bidi="ar-SA"/>
              </w:rPr>
              <w:t>g/day</w:t>
            </w:r>
            <w:r w:rsidR="00D95CC4">
              <w:rPr>
                <w:b/>
                <w:lang w:bidi="ar-SA"/>
              </w:rPr>
              <w:t>)</w:t>
            </w:r>
            <w:r w:rsidRPr="002F400D">
              <w:rPr>
                <w:b/>
                <w:vertAlign w:val="superscript"/>
                <w:lang w:bidi="ar-SA"/>
              </w:rPr>
              <w:t>1</w:t>
            </w:r>
          </w:p>
        </w:tc>
        <w:tc>
          <w:tcPr>
            <w:tcW w:w="1110" w:type="pct"/>
            <w:tcBorders>
              <w:top w:val="single" w:sz="4" w:space="0" w:color="auto"/>
              <w:left w:val="nil"/>
              <w:bottom w:val="single" w:sz="4" w:space="0" w:color="auto"/>
              <w:right w:val="single" w:sz="4" w:space="0" w:color="auto"/>
            </w:tcBorders>
            <w:shd w:val="clear" w:color="auto" w:fill="9BBB59" w:themeFill="accent3"/>
            <w:hideMark/>
          </w:tcPr>
          <w:p w14:paraId="344946AE" w14:textId="21EE6261" w:rsidR="00F73311" w:rsidRPr="002F400D" w:rsidRDefault="00F73311" w:rsidP="005D5D89">
            <w:pPr>
              <w:jc w:val="center"/>
              <w:rPr>
                <w:b/>
                <w:lang w:bidi="ar-SA"/>
              </w:rPr>
            </w:pPr>
            <w:r w:rsidRPr="002F400D">
              <w:rPr>
                <w:b/>
                <w:lang w:bidi="ar-SA"/>
              </w:rPr>
              <w:t>Additional intake n</w:t>
            </w:r>
            <w:r w:rsidRPr="002F400D">
              <w:rPr>
                <w:b/>
                <w:lang w:bidi="ar-SA"/>
              </w:rPr>
              <w:noBreakHyphen/>
              <w:t xml:space="preserve">3 LC PUFA from </w:t>
            </w:r>
            <w:r w:rsidR="002F36D0">
              <w:rPr>
                <w:b/>
                <w:lang w:bidi="ar-SA"/>
              </w:rPr>
              <w:t>LBFLFK</w:t>
            </w:r>
            <w:r w:rsidRPr="002F400D">
              <w:rPr>
                <w:b/>
                <w:lang w:bidi="ar-SA"/>
              </w:rPr>
              <w:t xml:space="preserve"> </w:t>
            </w:r>
            <w:r w:rsidR="00D95CC4">
              <w:rPr>
                <w:b/>
                <w:lang w:bidi="ar-SA"/>
              </w:rPr>
              <w:t>(</w:t>
            </w:r>
            <w:r w:rsidRPr="002F400D">
              <w:rPr>
                <w:b/>
                <w:lang w:bidi="ar-SA"/>
              </w:rPr>
              <w:t>g/day</w:t>
            </w:r>
            <w:r w:rsidR="00D95CC4">
              <w:rPr>
                <w:b/>
                <w:lang w:bidi="ar-SA"/>
              </w:rPr>
              <w:t>)</w:t>
            </w:r>
          </w:p>
        </w:tc>
        <w:tc>
          <w:tcPr>
            <w:tcW w:w="889" w:type="pct"/>
            <w:tcBorders>
              <w:top w:val="single" w:sz="4" w:space="0" w:color="auto"/>
              <w:left w:val="nil"/>
              <w:bottom w:val="single" w:sz="4" w:space="0" w:color="auto"/>
              <w:right w:val="single" w:sz="4" w:space="0" w:color="auto"/>
            </w:tcBorders>
            <w:shd w:val="clear" w:color="auto" w:fill="9BBB59" w:themeFill="accent3"/>
            <w:hideMark/>
          </w:tcPr>
          <w:p w14:paraId="7A294132" w14:textId="730489EF" w:rsidR="00F73311" w:rsidRPr="002F400D" w:rsidRDefault="00F73311" w:rsidP="005D5D89">
            <w:pPr>
              <w:jc w:val="center"/>
              <w:rPr>
                <w:b/>
                <w:lang w:bidi="ar-SA"/>
              </w:rPr>
            </w:pPr>
            <w:r w:rsidRPr="002F400D">
              <w:rPr>
                <w:b/>
                <w:lang w:bidi="ar-SA"/>
              </w:rPr>
              <w:t>Baseline mean intake n</w:t>
            </w:r>
            <w:r w:rsidRPr="002F400D">
              <w:rPr>
                <w:b/>
                <w:lang w:bidi="ar-SA"/>
              </w:rPr>
              <w:noBreakHyphen/>
              <w:t xml:space="preserve">3 LC PUFA </w:t>
            </w:r>
            <w:r w:rsidR="00D95CC4">
              <w:rPr>
                <w:b/>
                <w:lang w:bidi="ar-SA"/>
              </w:rPr>
              <w:t>(</w:t>
            </w:r>
            <w:r w:rsidRPr="002F400D">
              <w:rPr>
                <w:b/>
                <w:lang w:bidi="ar-SA"/>
              </w:rPr>
              <w:t>g/day</w:t>
            </w:r>
            <w:r w:rsidR="00D95CC4">
              <w:rPr>
                <w:b/>
                <w:lang w:bidi="ar-SA"/>
              </w:rPr>
              <w:t>)</w:t>
            </w:r>
            <w:r w:rsidRPr="002F400D">
              <w:rPr>
                <w:b/>
                <w:vertAlign w:val="superscript"/>
                <w:lang w:bidi="ar-SA"/>
              </w:rPr>
              <w:t>2</w:t>
            </w:r>
          </w:p>
        </w:tc>
        <w:tc>
          <w:tcPr>
            <w:tcW w:w="696" w:type="pct"/>
            <w:tcBorders>
              <w:top w:val="single" w:sz="4" w:space="0" w:color="auto"/>
              <w:left w:val="nil"/>
              <w:bottom w:val="single" w:sz="4" w:space="0" w:color="auto"/>
              <w:right w:val="single" w:sz="4" w:space="0" w:color="auto"/>
            </w:tcBorders>
            <w:shd w:val="clear" w:color="auto" w:fill="9BBB59" w:themeFill="accent3"/>
            <w:hideMark/>
          </w:tcPr>
          <w:p w14:paraId="1BB72004" w14:textId="15A12930" w:rsidR="00F73311" w:rsidRPr="002F400D" w:rsidRDefault="00511F2C" w:rsidP="005D5D89">
            <w:pPr>
              <w:jc w:val="center"/>
              <w:rPr>
                <w:b/>
                <w:lang w:bidi="ar-SA"/>
              </w:rPr>
            </w:pPr>
            <w:r>
              <w:rPr>
                <w:b/>
                <w:lang w:bidi="ar-SA"/>
              </w:rPr>
              <w:t xml:space="preserve">Predicted potential </w:t>
            </w:r>
            <w:r w:rsidR="00F73311" w:rsidRPr="002F400D">
              <w:rPr>
                <w:b/>
                <w:lang w:bidi="ar-SA"/>
              </w:rPr>
              <w:t xml:space="preserve">n-3 LC-PUFA intake </w:t>
            </w:r>
            <w:r w:rsidR="00D95CC4">
              <w:rPr>
                <w:b/>
                <w:lang w:bidi="ar-SA"/>
              </w:rPr>
              <w:t>(</w:t>
            </w:r>
            <w:r w:rsidR="00F73311" w:rsidRPr="002F400D">
              <w:rPr>
                <w:b/>
                <w:lang w:bidi="ar-SA"/>
              </w:rPr>
              <w:t>g/day</w:t>
            </w:r>
            <w:r w:rsidR="00D95CC4">
              <w:rPr>
                <w:b/>
                <w:lang w:bidi="ar-SA"/>
              </w:rPr>
              <w:t>)</w:t>
            </w:r>
          </w:p>
        </w:tc>
        <w:tc>
          <w:tcPr>
            <w:tcW w:w="447" w:type="pct"/>
            <w:tcBorders>
              <w:top w:val="single" w:sz="4" w:space="0" w:color="auto"/>
              <w:left w:val="nil"/>
              <w:bottom w:val="single" w:sz="4" w:space="0" w:color="auto"/>
              <w:right w:val="single" w:sz="4" w:space="0" w:color="auto"/>
            </w:tcBorders>
            <w:shd w:val="clear" w:color="auto" w:fill="9BBB59" w:themeFill="accent3"/>
            <w:hideMark/>
          </w:tcPr>
          <w:p w14:paraId="5B53EEE0" w14:textId="4F2463C9" w:rsidR="00F73311" w:rsidRPr="002F400D" w:rsidRDefault="00F73311" w:rsidP="005D5D89">
            <w:pPr>
              <w:jc w:val="center"/>
              <w:rPr>
                <w:b/>
                <w:lang w:bidi="ar-SA"/>
              </w:rPr>
            </w:pPr>
            <w:r>
              <w:rPr>
                <w:b/>
                <w:lang w:bidi="ar-SA"/>
              </w:rPr>
              <w:t>% of UL</w:t>
            </w:r>
          </w:p>
        </w:tc>
      </w:tr>
      <w:tr w:rsidR="00F73311" w:rsidRPr="007F0A79" w14:paraId="2473F09E" w14:textId="77777777" w:rsidTr="00CE0F20">
        <w:trPr>
          <w:trHeight w:val="290"/>
        </w:trPr>
        <w:tc>
          <w:tcPr>
            <w:tcW w:w="485" w:type="pct"/>
            <w:vMerge w:val="restart"/>
            <w:tcBorders>
              <w:top w:val="nil"/>
              <w:left w:val="single" w:sz="4" w:space="0" w:color="auto"/>
              <w:bottom w:val="single" w:sz="4" w:space="0" w:color="auto"/>
              <w:right w:val="single" w:sz="4" w:space="0" w:color="auto"/>
            </w:tcBorders>
            <w:shd w:val="clear" w:color="auto" w:fill="auto"/>
            <w:noWrap/>
            <w:hideMark/>
          </w:tcPr>
          <w:p w14:paraId="1F5E0AE7" w14:textId="77777777" w:rsidR="00F73311" w:rsidRPr="00AE411D" w:rsidRDefault="00F73311" w:rsidP="004B0630">
            <w:pPr>
              <w:jc w:val="center"/>
              <w:rPr>
                <w:lang w:bidi="ar-SA"/>
              </w:rPr>
            </w:pPr>
            <w:r w:rsidRPr="00AE411D">
              <w:rPr>
                <w:lang w:bidi="ar-SA"/>
              </w:rPr>
              <w:t>2-3</w:t>
            </w:r>
          </w:p>
        </w:tc>
        <w:tc>
          <w:tcPr>
            <w:tcW w:w="485" w:type="pct"/>
            <w:tcBorders>
              <w:top w:val="nil"/>
              <w:left w:val="nil"/>
              <w:bottom w:val="single" w:sz="4" w:space="0" w:color="auto"/>
              <w:right w:val="single" w:sz="4" w:space="0" w:color="auto"/>
            </w:tcBorders>
            <w:shd w:val="clear" w:color="auto" w:fill="auto"/>
            <w:noWrap/>
            <w:vAlign w:val="bottom"/>
            <w:hideMark/>
          </w:tcPr>
          <w:p w14:paraId="75D4F184" w14:textId="77777777" w:rsidR="00F73311" w:rsidRPr="00AE411D" w:rsidRDefault="00F73311" w:rsidP="005D5D89">
            <w:pPr>
              <w:jc w:val="center"/>
              <w:rPr>
                <w:lang w:bidi="ar-SA"/>
              </w:rPr>
            </w:pPr>
            <w:r w:rsidRPr="00AE411D">
              <w:rPr>
                <w:lang w:bidi="ar-SA"/>
              </w:rPr>
              <w:t>Female</w:t>
            </w:r>
          </w:p>
        </w:tc>
        <w:tc>
          <w:tcPr>
            <w:tcW w:w="889" w:type="pct"/>
            <w:tcBorders>
              <w:top w:val="nil"/>
              <w:left w:val="nil"/>
              <w:bottom w:val="single" w:sz="4" w:space="0" w:color="auto"/>
              <w:right w:val="single" w:sz="4" w:space="0" w:color="auto"/>
            </w:tcBorders>
            <w:shd w:val="clear" w:color="auto" w:fill="auto"/>
            <w:noWrap/>
            <w:vAlign w:val="bottom"/>
            <w:hideMark/>
          </w:tcPr>
          <w:p w14:paraId="05425E9A" w14:textId="77777777" w:rsidR="00F73311" w:rsidRPr="00AE411D" w:rsidRDefault="00F73311" w:rsidP="005D5D89">
            <w:pPr>
              <w:jc w:val="center"/>
              <w:rPr>
                <w:lang w:bidi="ar-SA"/>
              </w:rPr>
            </w:pPr>
            <w:r w:rsidRPr="00AE411D">
              <w:rPr>
                <w:lang w:bidi="ar-SA"/>
              </w:rPr>
              <w:t>1.0</w:t>
            </w:r>
          </w:p>
        </w:tc>
        <w:tc>
          <w:tcPr>
            <w:tcW w:w="1110" w:type="pct"/>
            <w:tcBorders>
              <w:top w:val="nil"/>
              <w:left w:val="nil"/>
              <w:bottom w:val="single" w:sz="4" w:space="0" w:color="auto"/>
              <w:right w:val="single" w:sz="4" w:space="0" w:color="auto"/>
            </w:tcBorders>
            <w:shd w:val="clear" w:color="auto" w:fill="auto"/>
            <w:noWrap/>
            <w:vAlign w:val="bottom"/>
            <w:hideMark/>
          </w:tcPr>
          <w:p w14:paraId="5E33E0FB" w14:textId="77777777" w:rsidR="00F73311" w:rsidRPr="00AE411D" w:rsidRDefault="00F73311" w:rsidP="005D5D89">
            <w:pPr>
              <w:jc w:val="center"/>
              <w:rPr>
                <w:lang w:bidi="ar-SA"/>
              </w:rPr>
            </w:pPr>
            <w:r w:rsidRPr="00AE411D">
              <w:rPr>
                <w:lang w:bidi="ar-SA"/>
              </w:rPr>
              <w:t>0.087</w:t>
            </w:r>
          </w:p>
        </w:tc>
        <w:tc>
          <w:tcPr>
            <w:tcW w:w="889" w:type="pct"/>
            <w:tcBorders>
              <w:top w:val="nil"/>
              <w:left w:val="nil"/>
              <w:bottom w:val="single" w:sz="4" w:space="0" w:color="auto"/>
              <w:right w:val="single" w:sz="4" w:space="0" w:color="auto"/>
            </w:tcBorders>
            <w:shd w:val="clear" w:color="auto" w:fill="auto"/>
            <w:noWrap/>
            <w:vAlign w:val="bottom"/>
            <w:hideMark/>
          </w:tcPr>
          <w:p w14:paraId="074AEF61" w14:textId="77777777" w:rsidR="00F73311" w:rsidRPr="00AE411D" w:rsidRDefault="00F73311" w:rsidP="005D5D89">
            <w:pPr>
              <w:jc w:val="center"/>
              <w:rPr>
                <w:lang w:bidi="ar-SA"/>
              </w:rPr>
            </w:pPr>
            <w:r w:rsidRPr="00AE411D">
              <w:rPr>
                <w:lang w:bidi="ar-SA"/>
              </w:rPr>
              <w:t>0.092</w:t>
            </w:r>
          </w:p>
        </w:tc>
        <w:tc>
          <w:tcPr>
            <w:tcW w:w="696" w:type="pct"/>
            <w:tcBorders>
              <w:top w:val="nil"/>
              <w:left w:val="nil"/>
              <w:bottom w:val="single" w:sz="4" w:space="0" w:color="auto"/>
              <w:right w:val="single" w:sz="4" w:space="0" w:color="auto"/>
            </w:tcBorders>
            <w:shd w:val="clear" w:color="auto" w:fill="auto"/>
            <w:noWrap/>
            <w:vAlign w:val="bottom"/>
            <w:hideMark/>
          </w:tcPr>
          <w:p w14:paraId="60CE08D2" w14:textId="77777777" w:rsidR="00F73311" w:rsidRPr="00AE411D" w:rsidRDefault="00F73311" w:rsidP="005D5D89">
            <w:pPr>
              <w:jc w:val="center"/>
              <w:rPr>
                <w:lang w:bidi="ar-SA"/>
              </w:rPr>
            </w:pPr>
            <w:r w:rsidRPr="00AE411D">
              <w:rPr>
                <w:lang w:bidi="ar-SA"/>
              </w:rPr>
              <w:t>0.179</w:t>
            </w:r>
          </w:p>
        </w:tc>
        <w:tc>
          <w:tcPr>
            <w:tcW w:w="447" w:type="pct"/>
            <w:tcBorders>
              <w:top w:val="nil"/>
              <w:left w:val="nil"/>
              <w:bottom w:val="single" w:sz="4" w:space="0" w:color="auto"/>
              <w:right w:val="single" w:sz="4" w:space="0" w:color="auto"/>
            </w:tcBorders>
            <w:shd w:val="clear" w:color="auto" w:fill="auto"/>
            <w:noWrap/>
            <w:vAlign w:val="center"/>
            <w:hideMark/>
          </w:tcPr>
          <w:p w14:paraId="5B353D0D" w14:textId="77777777" w:rsidR="00F73311" w:rsidRPr="00AE411D" w:rsidRDefault="00F73311" w:rsidP="00F73311">
            <w:pPr>
              <w:tabs>
                <w:tab w:val="decimal" w:pos="567"/>
              </w:tabs>
              <w:rPr>
                <w:lang w:bidi="ar-SA"/>
              </w:rPr>
            </w:pPr>
            <w:r w:rsidRPr="00AE411D">
              <w:rPr>
                <w:lang w:bidi="ar-SA"/>
              </w:rPr>
              <w:t>6</w:t>
            </w:r>
          </w:p>
        </w:tc>
      </w:tr>
      <w:tr w:rsidR="00F73311" w:rsidRPr="007F0A79" w14:paraId="3C92C589" w14:textId="77777777" w:rsidTr="00CE0F20">
        <w:trPr>
          <w:trHeight w:val="290"/>
        </w:trPr>
        <w:tc>
          <w:tcPr>
            <w:tcW w:w="485" w:type="pct"/>
            <w:vMerge/>
            <w:tcBorders>
              <w:top w:val="nil"/>
              <w:left w:val="single" w:sz="4" w:space="0" w:color="auto"/>
              <w:bottom w:val="single" w:sz="4" w:space="0" w:color="auto"/>
              <w:right w:val="single" w:sz="4" w:space="0" w:color="auto"/>
            </w:tcBorders>
            <w:hideMark/>
          </w:tcPr>
          <w:p w14:paraId="0EE2AF86" w14:textId="77777777" w:rsidR="00F73311" w:rsidRPr="00AE411D" w:rsidRDefault="00F73311">
            <w:pPr>
              <w:jc w:val="center"/>
              <w:rPr>
                <w:lang w:bidi="ar-SA"/>
              </w:rPr>
            </w:pPr>
          </w:p>
        </w:tc>
        <w:tc>
          <w:tcPr>
            <w:tcW w:w="485" w:type="pct"/>
            <w:tcBorders>
              <w:top w:val="nil"/>
              <w:left w:val="nil"/>
              <w:bottom w:val="single" w:sz="4" w:space="0" w:color="auto"/>
              <w:right w:val="single" w:sz="4" w:space="0" w:color="auto"/>
            </w:tcBorders>
            <w:shd w:val="clear" w:color="auto" w:fill="auto"/>
            <w:noWrap/>
            <w:vAlign w:val="bottom"/>
            <w:hideMark/>
          </w:tcPr>
          <w:p w14:paraId="29745E27" w14:textId="77777777" w:rsidR="00F73311" w:rsidRPr="00AE411D" w:rsidRDefault="00F73311" w:rsidP="005D5D89">
            <w:pPr>
              <w:jc w:val="center"/>
              <w:rPr>
                <w:lang w:bidi="ar-SA"/>
              </w:rPr>
            </w:pPr>
            <w:r w:rsidRPr="00AE411D">
              <w:rPr>
                <w:lang w:bidi="ar-SA"/>
              </w:rPr>
              <w:t>Male</w:t>
            </w:r>
          </w:p>
        </w:tc>
        <w:tc>
          <w:tcPr>
            <w:tcW w:w="889" w:type="pct"/>
            <w:tcBorders>
              <w:top w:val="nil"/>
              <w:left w:val="nil"/>
              <w:bottom w:val="single" w:sz="4" w:space="0" w:color="auto"/>
              <w:right w:val="single" w:sz="4" w:space="0" w:color="auto"/>
            </w:tcBorders>
            <w:shd w:val="clear" w:color="auto" w:fill="auto"/>
            <w:noWrap/>
            <w:vAlign w:val="bottom"/>
            <w:hideMark/>
          </w:tcPr>
          <w:p w14:paraId="704CDA07" w14:textId="77777777" w:rsidR="00F73311" w:rsidRPr="00AE411D" w:rsidRDefault="00F73311" w:rsidP="005D5D89">
            <w:pPr>
              <w:jc w:val="center"/>
              <w:rPr>
                <w:lang w:bidi="ar-SA"/>
              </w:rPr>
            </w:pPr>
            <w:r w:rsidRPr="00AE411D">
              <w:rPr>
                <w:lang w:bidi="ar-SA"/>
              </w:rPr>
              <w:t>1.0</w:t>
            </w:r>
          </w:p>
        </w:tc>
        <w:tc>
          <w:tcPr>
            <w:tcW w:w="1110" w:type="pct"/>
            <w:tcBorders>
              <w:top w:val="nil"/>
              <w:left w:val="nil"/>
              <w:bottom w:val="single" w:sz="4" w:space="0" w:color="auto"/>
              <w:right w:val="single" w:sz="4" w:space="0" w:color="auto"/>
            </w:tcBorders>
            <w:shd w:val="clear" w:color="auto" w:fill="auto"/>
            <w:noWrap/>
            <w:vAlign w:val="bottom"/>
            <w:hideMark/>
          </w:tcPr>
          <w:p w14:paraId="4F5532E8" w14:textId="77777777" w:rsidR="00F73311" w:rsidRPr="00AE411D" w:rsidRDefault="00F73311" w:rsidP="005D5D89">
            <w:pPr>
              <w:jc w:val="center"/>
              <w:rPr>
                <w:lang w:bidi="ar-SA"/>
              </w:rPr>
            </w:pPr>
            <w:r w:rsidRPr="00AE411D">
              <w:rPr>
                <w:lang w:bidi="ar-SA"/>
              </w:rPr>
              <w:t>0.084</w:t>
            </w:r>
          </w:p>
        </w:tc>
        <w:tc>
          <w:tcPr>
            <w:tcW w:w="889" w:type="pct"/>
            <w:tcBorders>
              <w:top w:val="nil"/>
              <w:left w:val="nil"/>
              <w:bottom w:val="single" w:sz="4" w:space="0" w:color="auto"/>
              <w:right w:val="single" w:sz="4" w:space="0" w:color="auto"/>
            </w:tcBorders>
            <w:shd w:val="clear" w:color="auto" w:fill="auto"/>
            <w:noWrap/>
            <w:vAlign w:val="bottom"/>
            <w:hideMark/>
          </w:tcPr>
          <w:p w14:paraId="128ECB92" w14:textId="77777777" w:rsidR="00F73311" w:rsidRPr="00AE411D" w:rsidRDefault="00F73311" w:rsidP="005D5D89">
            <w:pPr>
              <w:jc w:val="center"/>
              <w:rPr>
                <w:lang w:bidi="ar-SA"/>
              </w:rPr>
            </w:pPr>
            <w:r w:rsidRPr="00AE411D">
              <w:rPr>
                <w:lang w:bidi="ar-SA"/>
              </w:rPr>
              <w:t>0.096</w:t>
            </w:r>
          </w:p>
        </w:tc>
        <w:tc>
          <w:tcPr>
            <w:tcW w:w="696" w:type="pct"/>
            <w:tcBorders>
              <w:top w:val="nil"/>
              <w:left w:val="nil"/>
              <w:bottom w:val="single" w:sz="4" w:space="0" w:color="auto"/>
              <w:right w:val="single" w:sz="4" w:space="0" w:color="auto"/>
            </w:tcBorders>
            <w:shd w:val="clear" w:color="auto" w:fill="auto"/>
            <w:noWrap/>
            <w:vAlign w:val="bottom"/>
            <w:hideMark/>
          </w:tcPr>
          <w:p w14:paraId="0B2458FD" w14:textId="77777777" w:rsidR="00F73311" w:rsidRPr="00AE411D" w:rsidRDefault="00F73311" w:rsidP="005D5D89">
            <w:pPr>
              <w:jc w:val="center"/>
              <w:rPr>
                <w:lang w:bidi="ar-SA"/>
              </w:rPr>
            </w:pPr>
            <w:r w:rsidRPr="00AE411D">
              <w:rPr>
                <w:lang w:bidi="ar-SA"/>
              </w:rPr>
              <w:t>0.180</w:t>
            </w:r>
          </w:p>
        </w:tc>
        <w:tc>
          <w:tcPr>
            <w:tcW w:w="447" w:type="pct"/>
            <w:tcBorders>
              <w:top w:val="nil"/>
              <w:left w:val="nil"/>
              <w:bottom w:val="single" w:sz="4" w:space="0" w:color="auto"/>
              <w:right w:val="single" w:sz="4" w:space="0" w:color="auto"/>
            </w:tcBorders>
            <w:shd w:val="clear" w:color="auto" w:fill="auto"/>
            <w:noWrap/>
            <w:vAlign w:val="center"/>
            <w:hideMark/>
          </w:tcPr>
          <w:p w14:paraId="0C769730" w14:textId="77777777" w:rsidR="00F73311" w:rsidRPr="00AE411D" w:rsidRDefault="00F73311" w:rsidP="00F73311">
            <w:pPr>
              <w:tabs>
                <w:tab w:val="decimal" w:pos="567"/>
              </w:tabs>
              <w:rPr>
                <w:lang w:bidi="ar-SA"/>
              </w:rPr>
            </w:pPr>
            <w:r w:rsidRPr="00AE411D">
              <w:rPr>
                <w:lang w:bidi="ar-SA"/>
              </w:rPr>
              <w:t>6</w:t>
            </w:r>
          </w:p>
        </w:tc>
      </w:tr>
      <w:tr w:rsidR="00F73311" w:rsidRPr="007F0A79" w14:paraId="781AA350" w14:textId="77777777" w:rsidTr="00CE0F20">
        <w:trPr>
          <w:trHeight w:val="290"/>
        </w:trPr>
        <w:tc>
          <w:tcPr>
            <w:tcW w:w="485" w:type="pct"/>
            <w:vMerge w:val="restart"/>
            <w:tcBorders>
              <w:top w:val="nil"/>
              <w:left w:val="single" w:sz="4" w:space="0" w:color="auto"/>
              <w:bottom w:val="single" w:sz="4" w:space="0" w:color="auto"/>
              <w:right w:val="single" w:sz="4" w:space="0" w:color="auto"/>
            </w:tcBorders>
            <w:shd w:val="clear" w:color="auto" w:fill="EAF1DD" w:themeFill="accent3" w:themeFillTint="33"/>
            <w:noWrap/>
            <w:hideMark/>
          </w:tcPr>
          <w:p w14:paraId="65B0DBFA" w14:textId="77777777" w:rsidR="00F73311" w:rsidRPr="00AE411D" w:rsidRDefault="00F73311" w:rsidP="004B0630">
            <w:pPr>
              <w:jc w:val="center"/>
              <w:rPr>
                <w:lang w:bidi="ar-SA"/>
              </w:rPr>
            </w:pPr>
            <w:r w:rsidRPr="00AE411D">
              <w:rPr>
                <w:lang w:bidi="ar-SA"/>
              </w:rPr>
              <w:t>4-8</w:t>
            </w:r>
          </w:p>
        </w:tc>
        <w:tc>
          <w:tcPr>
            <w:tcW w:w="485" w:type="pct"/>
            <w:tcBorders>
              <w:top w:val="nil"/>
              <w:left w:val="nil"/>
              <w:bottom w:val="single" w:sz="4" w:space="0" w:color="auto"/>
              <w:right w:val="single" w:sz="4" w:space="0" w:color="auto"/>
            </w:tcBorders>
            <w:shd w:val="clear" w:color="auto" w:fill="EAF1DD" w:themeFill="accent3" w:themeFillTint="33"/>
            <w:noWrap/>
            <w:vAlign w:val="bottom"/>
            <w:hideMark/>
          </w:tcPr>
          <w:p w14:paraId="4CF40366" w14:textId="77777777" w:rsidR="00F73311" w:rsidRPr="00AE411D" w:rsidRDefault="00F73311" w:rsidP="005D5D89">
            <w:pPr>
              <w:jc w:val="center"/>
              <w:rPr>
                <w:lang w:bidi="ar-SA"/>
              </w:rPr>
            </w:pPr>
            <w:r w:rsidRPr="00AE411D">
              <w:rPr>
                <w:lang w:bidi="ar-SA"/>
              </w:rPr>
              <w:t>Female</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48334A61" w14:textId="77777777" w:rsidR="00F73311" w:rsidRPr="00AE411D" w:rsidRDefault="00F73311" w:rsidP="005D5D89">
            <w:pPr>
              <w:jc w:val="center"/>
              <w:rPr>
                <w:lang w:bidi="ar-SA"/>
              </w:rPr>
            </w:pPr>
            <w:r w:rsidRPr="00AE411D">
              <w:rPr>
                <w:lang w:bidi="ar-SA"/>
              </w:rPr>
              <w:t>1.2</w:t>
            </w:r>
          </w:p>
        </w:tc>
        <w:tc>
          <w:tcPr>
            <w:tcW w:w="1110" w:type="pct"/>
            <w:tcBorders>
              <w:top w:val="nil"/>
              <w:left w:val="nil"/>
              <w:bottom w:val="single" w:sz="4" w:space="0" w:color="auto"/>
              <w:right w:val="single" w:sz="4" w:space="0" w:color="auto"/>
            </w:tcBorders>
            <w:shd w:val="clear" w:color="auto" w:fill="EAF1DD" w:themeFill="accent3" w:themeFillTint="33"/>
            <w:noWrap/>
            <w:vAlign w:val="bottom"/>
            <w:hideMark/>
          </w:tcPr>
          <w:p w14:paraId="72B93B69" w14:textId="77777777" w:rsidR="00F73311" w:rsidRPr="00AE411D" w:rsidRDefault="00F73311" w:rsidP="005D5D89">
            <w:pPr>
              <w:jc w:val="center"/>
              <w:rPr>
                <w:lang w:bidi="ar-SA"/>
              </w:rPr>
            </w:pPr>
            <w:r w:rsidRPr="00AE411D">
              <w:rPr>
                <w:lang w:bidi="ar-SA"/>
              </w:rPr>
              <w:t>0.106</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4729129F" w14:textId="77777777" w:rsidR="00F73311" w:rsidRPr="00AE411D" w:rsidRDefault="00F73311" w:rsidP="005D5D89">
            <w:pPr>
              <w:jc w:val="center"/>
              <w:rPr>
                <w:lang w:bidi="ar-SA"/>
              </w:rPr>
            </w:pPr>
            <w:r w:rsidRPr="00AE411D">
              <w:rPr>
                <w:lang w:bidi="ar-SA"/>
              </w:rPr>
              <w:t>0.098</w:t>
            </w:r>
          </w:p>
        </w:tc>
        <w:tc>
          <w:tcPr>
            <w:tcW w:w="696" w:type="pct"/>
            <w:tcBorders>
              <w:top w:val="nil"/>
              <w:left w:val="nil"/>
              <w:bottom w:val="single" w:sz="4" w:space="0" w:color="auto"/>
              <w:right w:val="single" w:sz="4" w:space="0" w:color="auto"/>
            </w:tcBorders>
            <w:shd w:val="clear" w:color="auto" w:fill="EAF1DD" w:themeFill="accent3" w:themeFillTint="33"/>
            <w:noWrap/>
            <w:vAlign w:val="bottom"/>
            <w:hideMark/>
          </w:tcPr>
          <w:p w14:paraId="0DBC31C2" w14:textId="77777777" w:rsidR="00F73311" w:rsidRPr="00AE411D" w:rsidRDefault="00F73311" w:rsidP="005D5D89">
            <w:pPr>
              <w:jc w:val="center"/>
              <w:rPr>
                <w:lang w:bidi="ar-SA"/>
              </w:rPr>
            </w:pPr>
            <w:r w:rsidRPr="00AE411D">
              <w:rPr>
                <w:lang w:bidi="ar-SA"/>
              </w:rPr>
              <w:t>0.204</w:t>
            </w:r>
          </w:p>
        </w:tc>
        <w:tc>
          <w:tcPr>
            <w:tcW w:w="447" w:type="pct"/>
            <w:tcBorders>
              <w:top w:val="nil"/>
              <w:left w:val="nil"/>
              <w:bottom w:val="single" w:sz="4" w:space="0" w:color="auto"/>
              <w:right w:val="single" w:sz="4" w:space="0" w:color="auto"/>
            </w:tcBorders>
            <w:shd w:val="clear" w:color="auto" w:fill="EAF1DD" w:themeFill="accent3" w:themeFillTint="33"/>
            <w:noWrap/>
            <w:vAlign w:val="center"/>
            <w:hideMark/>
          </w:tcPr>
          <w:p w14:paraId="07CDAAB5" w14:textId="77777777" w:rsidR="00F73311" w:rsidRPr="00AE411D" w:rsidRDefault="00F73311" w:rsidP="00F73311">
            <w:pPr>
              <w:tabs>
                <w:tab w:val="decimal" w:pos="567"/>
              </w:tabs>
              <w:rPr>
                <w:lang w:bidi="ar-SA"/>
              </w:rPr>
            </w:pPr>
            <w:r w:rsidRPr="00AE411D">
              <w:rPr>
                <w:lang w:bidi="ar-SA"/>
              </w:rPr>
              <w:t>7</w:t>
            </w:r>
          </w:p>
        </w:tc>
      </w:tr>
      <w:tr w:rsidR="00F73311" w:rsidRPr="007F0A79" w14:paraId="4591A8FB" w14:textId="77777777" w:rsidTr="00CE0F20">
        <w:trPr>
          <w:trHeight w:val="290"/>
        </w:trPr>
        <w:tc>
          <w:tcPr>
            <w:tcW w:w="485" w:type="pct"/>
            <w:vMerge/>
            <w:tcBorders>
              <w:top w:val="nil"/>
              <w:left w:val="single" w:sz="4" w:space="0" w:color="auto"/>
              <w:bottom w:val="single" w:sz="4" w:space="0" w:color="auto"/>
              <w:right w:val="single" w:sz="4" w:space="0" w:color="auto"/>
            </w:tcBorders>
            <w:shd w:val="clear" w:color="auto" w:fill="EAF1DD" w:themeFill="accent3" w:themeFillTint="33"/>
            <w:hideMark/>
          </w:tcPr>
          <w:p w14:paraId="30F831CB" w14:textId="77777777" w:rsidR="00F73311" w:rsidRPr="00AE411D" w:rsidRDefault="00F73311">
            <w:pPr>
              <w:jc w:val="center"/>
              <w:rPr>
                <w:lang w:bidi="ar-SA"/>
              </w:rPr>
            </w:pPr>
          </w:p>
        </w:tc>
        <w:tc>
          <w:tcPr>
            <w:tcW w:w="485" w:type="pct"/>
            <w:tcBorders>
              <w:top w:val="nil"/>
              <w:left w:val="nil"/>
              <w:bottom w:val="single" w:sz="4" w:space="0" w:color="auto"/>
              <w:right w:val="single" w:sz="4" w:space="0" w:color="auto"/>
            </w:tcBorders>
            <w:shd w:val="clear" w:color="auto" w:fill="EAF1DD" w:themeFill="accent3" w:themeFillTint="33"/>
            <w:noWrap/>
            <w:vAlign w:val="bottom"/>
            <w:hideMark/>
          </w:tcPr>
          <w:p w14:paraId="3C9B0ACB" w14:textId="77777777" w:rsidR="00F73311" w:rsidRPr="00AE411D" w:rsidRDefault="00F73311" w:rsidP="005D5D89">
            <w:pPr>
              <w:jc w:val="center"/>
              <w:rPr>
                <w:lang w:bidi="ar-SA"/>
              </w:rPr>
            </w:pPr>
            <w:r w:rsidRPr="00AE411D">
              <w:rPr>
                <w:lang w:bidi="ar-SA"/>
              </w:rPr>
              <w:t>Male</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22F9E39E" w14:textId="77777777" w:rsidR="00F73311" w:rsidRPr="00AE411D" w:rsidRDefault="00F73311" w:rsidP="005D5D89">
            <w:pPr>
              <w:jc w:val="center"/>
              <w:rPr>
                <w:lang w:bidi="ar-SA"/>
              </w:rPr>
            </w:pPr>
            <w:r w:rsidRPr="00AE411D">
              <w:rPr>
                <w:lang w:bidi="ar-SA"/>
              </w:rPr>
              <w:t>1.3</w:t>
            </w:r>
          </w:p>
        </w:tc>
        <w:tc>
          <w:tcPr>
            <w:tcW w:w="1110" w:type="pct"/>
            <w:tcBorders>
              <w:top w:val="nil"/>
              <w:left w:val="nil"/>
              <w:bottom w:val="single" w:sz="4" w:space="0" w:color="auto"/>
              <w:right w:val="single" w:sz="4" w:space="0" w:color="auto"/>
            </w:tcBorders>
            <w:shd w:val="clear" w:color="auto" w:fill="EAF1DD" w:themeFill="accent3" w:themeFillTint="33"/>
            <w:noWrap/>
            <w:vAlign w:val="bottom"/>
            <w:hideMark/>
          </w:tcPr>
          <w:p w14:paraId="679DDE04" w14:textId="77777777" w:rsidR="00F73311" w:rsidRPr="00AE411D" w:rsidRDefault="00F73311" w:rsidP="005D5D89">
            <w:pPr>
              <w:jc w:val="center"/>
              <w:rPr>
                <w:lang w:bidi="ar-SA"/>
              </w:rPr>
            </w:pPr>
            <w:r w:rsidRPr="00AE411D">
              <w:rPr>
                <w:lang w:bidi="ar-SA"/>
              </w:rPr>
              <w:t>0.116</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2E5B3372" w14:textId="77777777" w:rsidR="00F73311" w:rsidRPr="00AE411D" w:rsidRDefault="00F73311" w:rsidP="005D5D89">
            <w:pPr>
              <w:jc w:val="center"/>
              <w:rPr>
                <w:lang w:bidi="ar-SA"/>
              </w:rPr>
            </w:pPr>
            <w:r w:rsidRPr="00AE411D">
              <w:rPr>
                <w:lang w:bidi="ar-SA"/>
              </w:rPr>
              <w:t>0.103</w:t>
            </w:r>
          </w:p>
        </w:tc>
        <w:tc>
          <w:tcPr>
            <w:tcW w:w="696" w:type="pct"/>
            <w:tcBorders>
              <w:top w:val="nil"/>
              <w:left w:val="nil"/>
              <w:bottom w:val="single" w:sz="4" w:space="0" w:color="auto"/>
              <w:right w:val="single" w:sz="4" w:space="0" w:color="auto"/>
            </w:tcBorders>
            <w:shd w:val="clear" w:color="auto" w:fill="EAF1DD" w:themeFill="accent3" w:themeFillTint="33"/>
            <w:noWrap/>
            <w:vAlign w:val="bottom"/>
            <w:hideMark/>
          </w:tcPr>
          <w:p w14:paraId="7BD156C8" w14:textId="77777777" w:rsidR="00F73311" w:rsidRPr="00AE411D" w:rsidRDefault="00F73311" w:rsidP="005D5D89">
            <w:pPr>
              <w:jc w:val="center"/>
              <w:rPr>
                <w:lang w:bidi="ar-SA"/>
              </w:rPr>
            </w:pPr>
            <w:r w:rsidRPr="00AE411D">
              <w:rPr>
                <w:lang w:bidi="ar-SA"/>
              </w:rPr>
              <w:t>0.219</w:t>
            </w:r>
          </w:p>
        </w:tc>
        <w:tc>
          <w:tcPr>
            <w:tcW w:w="447" w:type="pct"/>
            <w:tcBorders>
              <w:top w:val="nil"/>
              <w:left w:val="nil"/>
              <w:bottom w:val="single" w:sz="4" w:space="0" w:color="auto"/>
              <w:right w:val="single" w:sz="4" w:space="0" w:color="auto"/>
            </w:tcBorders>
            <w:shd w:val="clear" w:color="auto" w:fill="EAF1DD" w:themeFill="accent3" w:themeFillTint="33"/>
            <w:noWrap/>
            <w:vAlign w:val="center"/>
            <w:hideMark/>
          </w:tcPr>
          <w:p w14:paraId="28FB239B" w14:textId="77777777" w:rsidR="00F73311" w:rsidRPr="00AE411D" w:rsidRDefault="00F73311" w:rsidP="00F73311">
            <w:pPr>
              <w:tabs>
                <w:tab w:val="decimal" w:pos="567"/>
              </w:tabs>
              <w:rPr>
                <w:lang w:bidi="ar-SA"/>
              </w:rPr>
            </w:pPr>
            <w:r w:rsidRPr="00AE411D">
              <w:rPr>
                <w:lang w:bidi="ar-SA"/>
              </w:rPr>
              <w:t>7</w:t>
            </w:r>
          </w:p>
        </w:tc>
      </w:tr>
      <w:tr w:rsidR="00F73311" w:rsidRPr="007F0A79" w14:paraId="4DC75F9C" w14:textId="77777777" w:rsidTr="00CE0F20">
        <w:trPr>
          <w:trHeight w:val="290"/>
        </w:trPr>
        <w:tc>
          <w:tcPr>
            <w:tcW w:w="485" w:type="pct"/>
            <w:vMerge w:val="restart"/>
            <w:tcBorders>
              <w:top w:val="nil"/>
              <w:left w:val="single" w:sz="4" w:space="0" w:color="auto"/>
              <w:bottom w:val="single" w:sz="4" w:space="0" w:color="auto"/>
              <w:right w:val="single" w:sz="4" w:space="0" w:color="auto"/>
            </w:tcBorders>
            <w:shd w:val="clear" w:color="auto" w:fill="auto"/>
            <w:noWrap/>
            <w:hideMark/>
          </w:tcPr>
          <w:p w14:paraId="000C7D74" w14:textId="77777777" w:rsidR="00F73311" w:rsidRPr="00AE411D" w:rsidRDefault="00F73311" w:rsidP="004B0630">
            <w:pPr>
              <w:jc w:val="center"/>
              <w:rPr>
                <w:lang w:bidi="ar-SA"/>
              </w:rPr>
            </w:pPr>
            <w:r w:rsidRPr="00AE411D">
              <w:rPr>
                <w:lang w:bidi="ar-SA"/>
              </w:rPr>
              <w:t>9-13</w:t>
            </w:r>
          </w:p>
        </w:tc>
        <w:tc>
          <w:tcPr>
            <w:tcW w:w="485" w:type="pct"/>
            <w:tcBorders>
              <w:top w:val="nil"/>
              <w:left w:val="nil"/>
              <w:bottom w:val="single" w:sz="4" w:space="0" w:color="auto"/>
              <w:right w:val="single" w:sz="4" w:space="0" w:color="auto"/>
            </w:tcBorders>
            <w:shd w:val="clear" w:color="auto" w:fill="auto"/>
            <w:noWrap/>
            <w:vAlign w:val="bottom"/>
            <w:hideMark/>
          </w:tcPr>
          <w:p w14:paraId="7A357D90" w14:textId="77777777" w:rsidR="00F73311" w:rsidRPr="00AE411D" w:rsidRDefault="00F73311" w:rsidP="005D5D89">
            <w:pPr>
              <w:jc w:val="center"/>
              <w:rPr>
                <w:lang w:bidi="ar-SA"/>
              </w:rPr>
            </w:pPr>
            <w:r w:rsidRPr="00AE411D">
              <w:rPr>
                <w:lang w:bidi="ar-SA"/>
              </w:rPr>
              <w:t>Female</w:t>
            </w:r>
          </w:p>
        </w:tc>
        <w:tc>
          <w:tcPr>
            <w:tcW w:w="889" w:type="pct"/>
            <w:tcBorders>
              <w:top w:val="nil"/>
              <w:left w:val="nil"/>
              <w:bottom w:val="single" w:sz="4" w:space="0" w:color="auto"/>
              <w:right w:val="single" w:sz="4" w:space="0" w:color="auto"/>
            </w:tcBorders>
            <w:shd w:val="clear" w:color="auto" w:fill="auto"/>
            <w:noWrap/>
            <w:vAlign w:val="bottom"/>
            <w:hideMark/>
          </w:tcPr>
          <w:p w14:paraId="711F06E1" w14:textId="77777777" w:rsidR="00F73311" w:rsidRPr="00AE411D" w:rsidRDefault="00F73311" w:rsidP="005D5D89">
            <w:pPr>
              <w:jc w:val="center"/>
              <w:rPr>
                <w:lang w:bidi="ar-SA"/>
              </w:rPr>
            </w:pPr>
            <w:r w:rsidRPr="00AE411D">
              <w:rPr>
                <w:lang w:bidi="ar-SA"/>
              </w:rPr>
              <w:t>1.7</w:t>
            </w:r>
          </w:p>
        </w:tc>
        <w:tc>
          <w:tcPr>
            <w:tcW w:w="1110" w:type="pct"/>
            <w:tcBorders>
              <w:top w:val="nil"/>
              <w:left w:val="nil"/>
              <w:bottom w:val="single" w:sz="4" w:space="0" w:color="auto"/>
              <w:right w:val="single" w:sz="4" w:space="0" w:color="auto"/>
            </w:tcBorders>
            <w:shd w:val="clear" w:color="auto" w:fill="auto"/>
            <w:noWrap/>
            <w:vAlign w:val="bottom"/>
            <w:hideMark/>
          </w:tcPr>
          <w:p w14:paraId="4E57E03F" w14:textId="77777777" w:rsidR="00F73311" w:rsidRPr="00AE411D" w:rsidRDefault="00F73311" w:rsidP="005D5D89">
            <w:pPr>
              <w:jc w:val="center"/>
              <w:rPr>
                <w:lang w:bidi="ar-SA"/>
              </w:rPr>
            </w:pPr>
            <w:r w:rsidRPr="00AE411D">
              <w:rPr>
                <w:lang w:bidi="ar-SA"/>
              </w:rPr>
              <w:t>0.154</w:t>
            </w:r>
          </w:p>
        </w:tc>
        <w:tc>
          <w:tcPr>
            <w:tcW w:w="889" w:type="pct"/>
            <w:tcBorders>
              <w:top w:val="nil"/>
              <w:left w:val="nil"/>
              <w:bottom w:val="single" w:sz="4" w:space="0" w:color="auto"/>
              <w:right w:val="single" w:sz="4" w:space="0" w:color="auto"/>
            </w:tcBorders>
            <w:shd w:val="clear" w:color="auto" w:fill="auto"/>
            <w:noWrap/>
            <w:vAlign w:val="bottom"/>
            <w:hideMark/>
          </w:tcPr>
          <w:p w14:paraId="1C42AA21" w14:textId="77777777" w:rsidR="00F73311" w:rsidRPr="00AE411D" w:rsidRDefault="00F73311" w:rsidP="005D5D89">
            <w:pPr>
              <w:jc w:val="center"/>
              <w:rPr>
                <w:lang w:bidi="ar-SA"/>
              </w:rPr>
            </w:pPr>
            <w:r w:rsidRPr="00AE411D">
              <w:rPr>
                <w:lang w:bidi="ar-SA"/>
              </w:rPr>
              <w:t>0.162</w:t>
            </w:r>
          </w:p>
        </w:tc>
        <w:tc>
          <w:tcPr>
            <w:tcW w:w="696" w:type="pct"/>
            <w:tcBorders>
              <w:top w:val="nil"/>
              <w:left w:val="nil"/>
              <w:bottom w:val="single" w:sz="4" w:space="0" w:color="auto"/>
              <w:right w:val="single" w:sz="4" w:space="0" w:color="auto"/>
            </w:tcBorders>
            <w:shd w:val="clear" w:color="auto" w:fill="auto"/>
            <w:noWrap/>
            <w:vAlign w:val="bottom"/>
            <w:hideMark/>
          </w:tcPr>
          <w:p w14:paraId="44857447" w14:textId="77777777" w:rsidR="00F73311" w:rsidRPr="00AE411D" w:rsidRDefault="00F73311" w:rsidP="005D5D89">
            <w:pPr>
              <w:jc w:val="center"/>
              <w:rPr>
                <w:lang w:bidi="ar-SA"/>
              </w:rPr>
            </w:pPr>
            <w:r w:rsidRPr="00AE411D">
              <w:rPr>
                <w:lang w:bidi="ar-SA"/>
              </w:rPr>
              <w:t>0.316</w:t>
            </w:r>
          </w:p>
        </w:tc>
        <w:tc>
          <w:tcPr>
            <w:tcW w:w="447" w:type="pct"/>
            <w:tcBorders>
              <w:top w:val="nil"/>
              <w:left w:val="nil"/>
              <w:bottom w:val="single" w:sz="4" w:space="0" w:color="auto"/>
              <w:right w:val="single" w:sz="4" w:space="0" w:color="auto"/>
            </w:tcBorders>
            <w:shd w:val="clear" w:color="auto" w:fill="auto"/>
            <w:noWrap/>
            <w:vAlign w:val="center"/>
            <w:hideMark/>
          </w:tcPr>
          <w:p w14:paraId="4ECA9BC9" w14:textId="77777777" w:rsidR="00F73311" w:rsidRPr="00AE411D" w:rsidRDefault="00F73311" w:rsidP="00F73311">
            <w:pPr>
              <w:tabs>
                <w:tab w:val="decimal" w:pos="567"/>
              </w:tabs>
              <w:rPr>
                <w:lang w:bidi="ar-SA"/>
              </w:rPr>
            </w:pPr>
            <w:r w:rsidRPr="00AE411D">
              <w:rPr>
                <w:lang w:bidi="ar-SA"/>
              </w:rPr>
              <w:t>11</w:t>
            </w:r>
          </w:p>
        </w:tc>
      </w:tr>
      <w:tr w:rsidR="00F73311" w:rsidRPr="007F0A79" w14:paraId="5EF560BF" w14:textId="77777777" w:rsidTr="00CE0F20">
        <w:trPr>
          <w:trHeight w:val="290"/>
        </w:trPr>
        <w:tc>
          <w:tcPr>
            <w:tcW w:w="485" w:type="pct"/>
            <w:vMerge/>
            <w:tcBorders>
              <w:top w:val="nil"/>
              <w:left w:val="single" w:sz="4" w:space="0" w:color="auto"/>
              <w:bottom w:val="single" w:sz="4" w:space="0" w:color="auto"/>
              <w:right w:val="single" w:sz="4" w:space="0" w:color="auto"/>
            </w:tcBorders>
            <w:hideMark/>
          </w:tcPr>
          <w:p w14:paraId="74ABCB98" w14:textId="77777777" w:rsidR="00F73311" w:rsidRPr="00AE411D" w:rsidRDefault="00F73311">
            <w:pPr>
              <w:jc w:val="center"/>
              <w:rPr>
                <w:lang w:bidi="ar-SA"/>
              </w:rPr>
            </w:pPr>
          </w:p>
        </w:tc>
        <w:tc>
          <w:tcPr>
            <w:tcW w:w="485" w:type="pct"/>
            <w:tcBorders>
              <w:top w:val="nil"/>
              <w:left w:val="nil"/>
              <w:bottom w:val="single" w:sz="4" w:space="0" w:color="auto"/>
              <w:right w:val="single" w:sz="4" w:space="0" w:color="auto"/>
            </w:tcBorders>
            <w:shd w:val="clear" w:color="auto" w:fill="auto"/>
            <w:noWrap/>
            <w:vAlign w:val="bottom"/>
            <w:hideMark/>
          </w:tcPr>
          <w:p w14:paraId="7DAE83F2" w14:textId="77777777" w:rsidR="00F73311" w:rsidRPr="00AE411D" w:rsidRDefault="00F73311" w:rsidP="005D5D89">
            <w:pPr>
              <w:jc w:val="center"/>
              <w:rPr>
                <w:lang w:bidi="ar-SA"/>
              </w:rPr>
            </w:pPr>
            <w:r w:rsidRPr="00AE411D">
              <w:rPr>
                <w:lang w:bidi="ar-SA"/>
              </w:rPr>
              <w:t>Male</w:t>
            </w:r>
          </w:p>
        </w:tc>
        <w:tc>
          <w:tcPr>
            <w:tcW w:w="889" w:type="pct"/>
            <w:tcBorders>
              <w:top w:val="nil"/>
              <w:left w:val="nil"/>
              <w:bottom w:val="single" w:sz="4" w:space="0" w:color="auto"/>
              <w:right w:val="single" w:sz="4" w:space="0" w:color="auto"/>
            </w:tcBorders>
            <w:shd w:val="clear" w:color="auto" w:fill="auto"/>
            <w:noWrap/>
            <w:vAlign w:val="bottom"/>
            <w:hideMark/>
          </w:tcPr>
          <w:p w14:paraId="2B08D353" w14:textId="77777777" w:rsidR="00F73311" w:rsidRPr="00AE411D" w:rsidRDefault="00F73311" w:rsidP="005D5D89">
            <w:pPr>
              <w:jc w:val="center"/>
              <w:rPr>
                <w:lang w:bidi="ar-SA"/>
              </w:rPr>
            </w:pPr>
            <w:r w:rsidRPr="00AE411D">
              <w:rPr>
                <w:lang w:bidi="ar-SA"/>
              </w:rPr>
              <w:t>1.9</w:t>
            </w:r>
          </w:p>
        </w:tc>
        <w:tc>
          <w:tcPr>
            <w:tcW w:w="1110" w:type="pct"/>
            <w:tcBorders>
              <w:top w:val="nil"/>
              <w:left w:val="nil"/>
              <w:bottom w:val="single" w:sz="4" w:space="0" w:color="auto"/>
              <w:right w:val="single" w:sz="4" w:space="0" w:color="auto"/>
            </w:tcBorders>
            <w:shd w:val="clear" w:color="auto" w:fill="auto"/>
            <w:noWrap/>
            <w:vAlign w:val="bottom"/>
            <w:hideMark/>
          </w:tcPr>
          <w:p w14:paraId="0C9FED19" w14:textId="77777777" w:rsidR="00F73311" w:rsidRPr="00AE411D" w:rsidRDefault="00F73311" w:rsidP="005D5D89">
            <w:pPr>
              <w:jc w:val="center"/>
              <w:rPr>
                <w:lang w:bidi="ar-SA"/>
              </w:rPr>
            </w:pPr>
            <w:r w:rsidRPr="00AE411D">
              <w:rPr>
                <w:lang w:bidi="ar-SA"/>
              </w:rPr>
              <w:t>0.166</w:t>
            </w:r>
          </w:p>
        </w:tc>
        <w:tc>
          <w:tcPr>
            <w:tcW w:w="889" w:type="pct"/>
            <w:tcBorders>
              <w:top w:val="nil"/>
              <w:left w:val="nil"/>
              <w:bottom w:val="single" w:sz="4" w:space="0" w:color="auto"/>
              <w:right w:val="single" w:sz="4" w:space="0" w:color="auto"/>
            </w:tcBorders>
            <w:shd w:val="clear" w:color="auto" w:fill="auto"/>
            <w:noWrap/>
            <w:vAlign w:val="bottom"/>
            <w:hideMark/>
          </w:tcPr>
          <w:p w14:paraId="6E5798AB" w14:textId="77777777" w:rsidR="00F73311" w:rsidRPr="00AE411D" w:rsidRDefault="00F73311" w:rsidP="005D5D89">
            <w:pPr>
              <w:jc w:val="center"/>
              <w:rPr>
                <w:lang w:bidi="ar-SA"/>
              </w:rPr>
            </w:pPr>
            <w:r w:rsidRPr="00AE411D">
              <w:rPr>
                <w:lang w:bidi="ar-SA"/>
              </w:rPr>
              <w:t>0.176</w:t>
            </w:r>
          </w:p>
        </w:tc>
        <w:tc>
          <w:tcPr>
            <w:tcW w:w="696" w:type="pct"/>
            <w:tcBorders>
              <w:top w:val="nil"/>
              <w:left w:val="nil"/>
              <w:bottom w:val="single" w:sz="4" w:space="0" w:color="auto"/>
              <w:right w:val="single" w:sz="4" w:space="0" w:color="auto"/>
            </w:tcBorders>
            <w:shd w:val="clear" w:color="auto" w:fill="auto"/>
            <w:noWrap/>
            <w:vAlign w:val="bottom"/>
            <w:hideMark/>
          </w:tcPr>
          <w:p w14:paraId="3188C7FE" w14:textId="77777777" w:rsidR="00F73311" w:rsidRPr="00AE411D" w:rsidRDefault="00F73311" w:rsidP="005D5D89">
            <w:pPr>
              <w:jc w:val="center"/>
              <w:rPr>
                <w:lang w:bidi="ar-SA"/>
              </w:rPr>
            </w:pPr>
            <w:r w:rsidRPr="00AE411D">
              <w:rPr>
                <w:lang w:bidi="ar-SA"/>
              </w:rPr>
              <w:t>0.342</w:t>
            </w:r>
          </w:p>
        </w:tc>
        <w:tc>
          <w:tcPr>
            <w:tcW w:w="447" w:type="pct"/>
            <w:tcBorders>
              <w:top w:val="nil"/>
              <w:left w:val="nil"/>
              <w:bottom w:val="single" w:sz="4" w:space="0" w:color="auto"/>
              <w:right w:val="single" w:sz="4" w:space="0" w:color="auto"/>
            </w:tcBorders>
            <w:shd w:val="clear" w:color="auto" w:fill="auto"/>
            <w:noWrap/>
            <w:vAlign w:val="center"/>
            <w:hideMark/>
          </w:tcPr>
          <w:p w14:paraId="676D1617" w14:textId="77777777" w:rsidR="00F73311" w:rsidRPr="00AE411D" w:rsidRDefault="00F73311" w:rsidP="00F73311">
            <w:pPr>
              <w:tabs>
                <w:tab w:val="decimal" w:pos="567"/>
              </w:tabs>
              <w:rPr>
                <w:lang w:bidi="ar-SA"/>
              </w:rPr>
            </w:pPr>
            <w:r w:rsidRPr="00AE411D">
              <w:rPr>
                <w:lang w:bidi="ar-SA"/>
              </w:rPr>
              <w:t>11</w:t>
            </w:r>
          </w:p>
        </w:tc>
      </w:tr>
      <w:tr w:rsidR="00F73311" w:rsidRPr="007F0A79" w14:paraId="2225A663" w14:textId="77777777" w:rsidTr="00CE0F20">
        <w:trPr>
          <w:trHeight w:val="290"/>
        </w:trPr>
        <w:tc>
          <w:tcPr>
            <w:tcW w:w="485" w:type="pct"/>
            <w:vMerge w:val="restart"/>
            <w:tcBorders>
              <w:top w:val="nil"/>
              <w:left w:val="single" w:sz="4" w:space="0" w:color="auto"/>
              <w:bottom w:val="single" w:sz="4" w:space="0" w:color="auto"/>
              <w:right w:val="single" w:sz="4" w:space="0" w:color="auto"/>
            </w:tcBorders>
            <w:shd w:val="clear" w:color="auto" w:fill="EAF1DD" w:themeFill="accent3" w:themeFillTint="33"/>
            <w:noWrap/>
            <w:hideMark/>
          </w:tcPr>
          <w:p w14:paraId="068D6AEA" w14:textId="77777777" w:rsidR="00F73311" w:rsidRPr="00AE411D" w:rsidRDefault="00F73311" w:rsidP="004B0630">
            <w:pPr>
              <w:jc w:val="center"/>
              <w:rPr>
                <w:lang w:bidi="ar-SA"/>
              </w:rPr>
            </w:pPr>
            <w:r w:rsidRPr="00AE411D">
              <w:rPr>
                <w:lang w:bidi="ar-SA"/>
              </w:rPr>
              <w:t>14-18</w:t>
            </w:r>
          </w:p>
        </w:tc>
        <w:tc>
          <w:tcPr>
            <w:tcW w:w="485" w:type="pct"/>
            <w:tcBorders>
              <w:top w:val="nil"/>
              <w:left w:val="nil"/>
              <w:bottom w:val="single" w:sz="4" w:space="0" w:color="auto"/>
              <w:right w:val="single" w:sz="4" w:space="0" w:color="auto"/>
            </w:tcBorders>
            <w:shd w:val="clear" w:color="auto" w:fill="EAF1DD" w:themeFill="accent3" w:themeFillTint="33"/>
            <w:noWrap/>
            <w:vAlign w:val="bottom"/>
            <w:hideMark/>
          </w:tcPr>
          <w:p w14:paraId="7A4B3938" w14:textId="77777777" w:rsidR="00F73311" w:rsidRPr="00AE411D" w:rsidRDefault="00F73311" w:rsidP="005D5D89">
            <w:pPr>
              <w:jc w:val="center"/>
              <w:rPr>
                <w:lang w:bidi="ar-SA"/>
              </w:rPr>
            </w:pPr>
            <w:r w:rsidRPr="00AE411D">
              <w:rPr>
                <w:lang w:bidi="ar-SA"/>
              </w:rPr>
              <w:t>Female</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32DF0B9C" w14:textId="77777777" w:rsidR="00F73311" w:rsidRPr="00AE411D" w:rsidRDefault="00F73311" w:rsidP="005D5D89">
            <w:pPr>
              <w:jc w:val="center"/>
              <w:rPr>
                <w:lang w:bidi="ar-SA"/>
              </w:rPr>
            </w:pPr>
            <w:r w:rsidRPr="00AE411D">
              <w:rPr>
                <w:lang w:bidi="ar-SA"/>
              </w:rPr>
              <w:t>1.9</w:t>
            </w:r>
          </w:p>
        </w:tc>
        <w:tc>
          <w:tcPr>
            <w:tcW w:w="1110" w:type="pct"/>
            <w:tcBorders>
              <w:top w:val="nil"/>
              <w:left w:val="nil"/>
              <w:bottom w:val="single" w:sz="4" w:space="0" w:color="auto"/>
              <w:right w:val="single" w:sz="4" w:space="0" w:color="auto"/>
            </w:tcBorders>
            <w:shd w:val="clear" w:color="auto" w:fill="EAF1DD" w:themeFill="accent3" w:themeFillTint="33"/>
            <w:noWrap/>
            <w:vAlign w:val="bottom"/>
            <w:hideMark/>
          </w:tcPr>
          <w:p w14:paraId="31CD39A9" w14:textId="77777777" w:rsidR="00F73311" w:rsidRPr="00AE411D" w:rsidRDefault="00F73311" w:rsidP="005D5D89">
            <w:pPr>
              <w:jc w:val="center"/>
              <w:rPr>
                <w:lang w:bidi="ar-SA"/>
              </w:rPr>
            </w:pPr>
            <w:r w:rsidRPr="00AE411D">
              <w:rPr>
                <w:lang w:bidi="ar-SA"/>
              </w:rPr>
              <w:t>0.170</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2929E801" w14:textId="77777777" w:rsidR="00F73311" w:rsidRPr="00AE411D" w:rsidRDefault="00F73311" w:rsidP="005D5D89">
            <w:pPr>
              <w:jc w:val="center"/>
              <w:rPr>
                <w:lang w:bidi="ar-SA"/>
              </w:rPr>
            </w:pPr>
            <w:r w:rsidRPr="00AE411D">
              <w:rPr>
                <w:lang w:bidi="ar-SA"/>
              </w:rPr>
              <w:t>0.179</w:t>
            </w:r>
          </w:p>
        </w:tc>
        <w:tc>
          <w:tcPr>
            <w:tcW w:w="696" w:type="pct"/>
            <w:tcBorders>
              <w:top w:val="nil"/>
              <w:left w:val="nil"/>
              <w:bottom w:val="single" w:sz="4" w:space="0" w:color="auto"/>
              <w:right w:val="single" w:sz="4" w:space="0" w:color="auto"/>
            </w:tcBorders>
            <w:shd w:val="clear" w:color="auto" w:fill="EAF1DD" w:themeFill="accent3" w:themeFillTint="33"/>
            <w:noWrap/>
            <w:vAlign w:val="bottom"/>
            <w:hideMark/>
          </w:tcPr>
          <w:p w14:paraId="47B63F83" w14:textId="77777777" w:rsidR="00F73311" w:rsidRPr="00AE411D" w:rsidRDefault="00F73311" w:rsidP="005D5D89">
            <w:pPr>
              <w:jc w:val="center"/>
              <w:rPr>
                <w:lang w:bidi="ar-SA"/>
              </w:rPr>
            </w:pPr>
            <w:r w:rsidRPr="00AE411D">
              <w:rPr>
                <w:lang w:bidi="ar-SA"/>
              </w:rPr>
              <w:t>0.349</w:t>
            </w:r>
          </w:p>
        </w:tc>
        <w:tc>
          <w:tcPr>
            <w:tcW w:w="447" w:type="pct"/>
            <w:tcBorders>
              <w:top w:val="nil"/>
              <w:left w:val="nil"/>
              <w:bottom w:val="single" w:sz="4" w:space="0" w:color="auto"/>
              <w:right w:val="single" w:sz="4" w:space="0" w:color="auto"/>
            </w:tcBorders>
            <w:shd w:val="clear" w:color="auto" w:fill="EAF1DD" w:themeFill="accent3" w:themeFillTint="33"/>
            <w:noWrap/>
            <w:vAlign w:val="center"/>
            <w:hideMark/>
          </w:tcPr>
          <w:p w14:paraId="35AF5391" w14:textId="77777777" w:rsidR="00F73311" w:rsidRPr="00AE411D" w:rsidRDefault="00F73311" w:rsidP="00F73311">
            <w:pPr>
              <w:tabs>
                <w:tab w:val="decimal" w:pos="567"/>
              </w:tabs>
              <w:rPr>
                <w:lang w:bidi="ar-SA"/>
              </w:rPr>
            </w:pPr>
            <w:r w:rsidRPr="00AE411D">
              <w:rPr>
                <w:lang w:bidi="ar-SA"/>
              </w:rPr>
              <w:t>12</w:t>
            </w:r>
          </w:p>
        </w:tc>
      </w:tr>
      <w:tr w:rsidR="00F73311" w:rsidRPr="007F0A79" w14:paraId="77568797" w14:textId="77777777" w:rsidTr="00CE0F20">
        <w:trPr>
          <w:trHeight w:val="290"/>
        </w:trPr>
        <w:tc>
          <w:tcPr>
            <w:tcW w:w="485" w:type="pct"/>
            <w:vMerge/>
            <w:tcBorders>
              <w:top w:val="nil"/>
              <w:left w:val="single" w:sz="4" w:space="0" w:color="auto"/>
              <w:bottom w:val="single" w:sz="4" w:space="0" w:color="auto"/>
              <w:right w:val="single" w:sz="4" w:space="0" w:color="auto"/>
            </w:tcBorders>
            <w:shd w:val="clear" w:color="auto" w:fill="EAF1DD" w:themeFill="accent3" w:themeFillTint="33"/>
            <w:hideMark/>
          </w:tcPr>
          <w:p w14:paraId="196CED19" w14:textId="77777777" w:rsidR="00F73311" w:rsidRPr="00AE411D" w:rsidRDefault="00F73311">
            <w:pPr>
              <w:jc w:val="center"/>
              <w:rPr>
                <w:lang w:bidi="ar-SA"/>
              </w:rPr>
            </w:pPr>
          </w:p>
        </w:tc>
        <w:tc>
          <w:tcPr>
            <w:tcW w:w="485" w:type="pct"/>
            <w:tcBorders>
              <w:top w:val="nil"/>
              <w:left w:val="nil"/>
              <w:bottom w:val="single" w:sz="4" w:space="0" w:color="auto"/>
              <w:right w:val="single" w:sz="4" w:space="0" w:color="auto"/>
            </w:tcBorders>
            <w:shd w:val="clear" w:color="auto" w:fill="EAF1DD" w:themeFill="accent3" w:themeFillTint="33"/>
            <w:noWrap/>
            <w:vAlign w:val="bottom"/>
            <w:hideMark/>
          </w:tcPr>
          <w:p w14:paraId="02D0965A" w14:textId="77777777" w:rsidR="00F73311" w:rsidRPr="00AE411D" w:rsidRDefault="00F73311" w:rsidP="005D5D89">
            <w:pPr>
              <w:jc w:val="center"/>
              <w:rPr>
                <w:lang w:bidi="ar-SA"/>
              </w:rPr>
            </w:pPr>
            <w:r w:rsidRPr="00AE411D">
              <w:rPr>
                <w:lang w:bidi="ar-SA"/>
              </w:rPr>
              <w:t>Male</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1724AC00" w14:textId="77777777" w:rsidR="00F73311" w:rsidRPr="00AE411D" w:rsidRDefault="00F73311" w:rsidP="005D5D89">
            <w:pPr>
              <w:jc w:val="center"/>
              <w:rPr>
                <w:lang w:bidi="ar-SA"/>
              </w:rPr>
            </w:pPr>
            <w:r w:rsidRPr="00AE411D">
              <w:rPr>
                <w:lang w:bidi="ar-SA"/>
              </w:rPr>
              <w:t>3.2</w:t>
            </w:r>
          </w:p>
        </w:tc>
        <w:tc>
          <w:tcPr>
            <w:tcW w:w="1110" w:type="pct"/>
            <w:tcBorders>
              <w:top w:val="nil"/>
              <w:left w:val="nil"/>
              <w:bottom w:val="single" w:sz="4" w:space="0" w:color="auto"/>
              <w:right w:val="single" w:sz="4" w:space="0" w:color="auto"/>
            </w:tcBorders>
            <w:shd w:val="clear" w:color="auto" w:fill="EAF1DD" w:themeFill="accent3" w:themeFillTint="33"/>
            <w:noWrap/>
            <w:vAlign w:val="bottom"/>
            <w:hideMark/>
          </w:tcPr>
          <w:p w14:paraId="74E74368" w14:textId="77777777" w:rsidR="00F73311" w:rsidRPr="00AE411D" w:rsidRDefault="00F73311" w:rsidP="005D5D89">
            <w:pPr>
              <w:jc w:val="center"/>
              <w:rPr>
                <w:lang w:bidi="ar-SA"/>
              </w:rPr>
            </w:pPr>
            <w:r w:rsidRPr="00AE411D">
              <w:rPr>
                <w:lang w:bidi="ar-SA"/>
              </w:rPr>
              <w:t>0.279</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6711E198" w14:textId="77777777" w:rsidR="00F73311" w:rsidRPr="00AE411D" w:rsidRDefault="00F73311" w:rsidP="005D5D89">
            <w:pPr>
              <w:jc w:val="center"/>
              <w:rPr>
                <w:lang w:bidi="ar-SA"/>
              </w:rPr>
            </w:pPr>
            <w:r w:rsidRPr="00AE411D">
              <w:rPr>
                <w:lang w:bidi="ar-SA"/>
              </w:rPr>
              <w:t>0.206</w:t>
            </w:r>
          </w:p>
        </w:tc>
        <w:tc>
          <w:tcPr>
            <w:tcW w:w="696" w:type="pct"/>
            <w:tcBorders>
              <w:top w:val="nil"/>
              <w:left w:val="nil"/>
              <w:bottom w:val="single" w:sz="4" w:space="0" w:color="auto"/>
              <w:right w:val="single" w:sz="4" w:space="0" w:color="auto"/>
            </w:tcBorders>
            <w:shd w:val="clear" w:color="auto" w:fill="EAF1DD" w:themeFill="accent3" w:themeFillTint="33"/>
            <w:noWrap/>
            <w:vAlign w:val="bottom"/>
            <w:hideMark/>
          </w:tcPr>
          <w:p w14:paraId="340864F4" w14:textId="77777777" w:rsidR="00F73311" w:rsidRPr="00AE411D" w:rsidRDefault="00F73311" w:rsidP="005D5D89">
            <w:pPr>
              <w:jc w:val="center"/>
              <w:rPr>
                <w:lang w:bidi="ar-SA"/>
              </w:rPr>
            </w:pPr>
            <w:r w:rsidRPr="00AE411D">
              <w:rPr>
                <w:lang w:bidi="ar-SA"/>
              </w:rPr>
              <w:t>0.485</w:t>
            </w:r>
          </w:p>
        </w:tc>
        <w:tc>
          <w:tcPr>
            <w:tcW w:w="447" w:type="pct"/>
            <w:tcBorders>
              <w:top w:val="nil"/>
              <w:left w:val="nil"/>
              <w:bottom w:val="single" w:sz="4" w:space="0" w:color="auto"/>
              <w:right w:val="single" w:sz="4" w:space="0" w:color="auto"/>
            </w:tcBorders>
            <w:shd w:val="clear" w:color="auto" w:fill="EAF1DD" w:themeFill="accent3" w:themeFillTint="33"/>
            <w:noWrap/>
            <w:vAlign w:val="center"/>
            <w:hideMark/>
          </w:tcPr>
          <w:p w14:paraId="4115AB39" w14:textId="77777777" w:rsidR="00F73311" w:rsidRPr="00AE411D" w:rsidRDefault="00F73311" w:rsidP="00F73311">
            <w:pPr>
              <w:tabs>
                <w:tab w:val="decimal" w:pos="567"/>
              </w:tabs>
              <w:rPr>
                <w:lang w:bidi="ar-SA"/>
              </w:rPr>
            </w:pPr>
            <w:r w:rsidRPr="00AE411D">
              <w:rPr>
                <w:lang w:bidi="ar-SA"/>
              </w:rPr>
              <w:t>16</w:t>
            </w:r>
          </w:p>
        </w:tc>
      </w:tr>
      <w:tr w:rsidR="00F73311" w:rsidRPr="007F0A79" w14:paraId="510268D5" w14:textId="77777777" w:rsidTr="00CE0F20">
        <w:trPr>
          <w:trHeight w:val="290"/>
        </w:trPr>
        <w:tc>
          <w:tcPr>
            <w:tcW w:w="485" w:type="pct"/>
            <w:vMerge w:val="restart"/>
            <w:tcBorders>
              <w:top w:val="nil"/>
              <w:left w:val="single" w:sz="4" w:space="0" w:color="auto"/>
              <w:bottom w:val="single" w:sz="4" w:space="0" w:color="auto"/>
              <w:right w:val="single" w:sz="4" w:space="0" w:color="auto"/>
            </w:tcBorders>
            <w:shd w:val="clear" w:color="auto" w:fill="auto"/>
            <w:noWrap/>
            <w:hideMark/>
          </w:tcPr>
          <w:p w14:paraId="4D9C9C8C" w14:textId="77777777" w:rsidR="00F73311" w:rsidRPr="00AE411D" w:rsidRDefault="00F73311" w:rsidP="004B0630">
            <w:pPr>
              <w:jc w:val="center"/>
              <w:rPr>
                <w:lang w:bidi="ar-SA"/>
              </w:rPr>
            </w:pPr>
            <w:r w:rsidRPr="00AE411D">
              <w:rPr>
                <w:lang w:bidi="ar-SA"/>
              </w:rPr>
              <w:t>19-30</w:t>
            </w:r>
          </w:p>
        </w:tc>
        <w:tc>
          <w:tcPr>
            <w:tcW w:w="485" w:type="pct"/>
            <w:tcBorders>
              <w:top w:val="nil"/>
              <w:left w:val="nil"/>
              <w:bottom w:val="single" w:sz="4" w:space="0" w:color="auto"/>
              <w:right w:val="single" w:sz="4" w:space="0" w:color="auto"/>
            </w:tcBorders>
            <w:shd w:val="clear" w:color="auto" w:fill="auto"/>
            <w:noWrap/>
            <w:vAlign w:val="bottom"/>
            <w:hideMark/>
          </w:tcPr>
          <w:p w14:paraId="0C2E87E5" w14:textId="77777777" w:rsidR="00F73311" w:rsidRPr="00AE411D" w:rsidRDefault="00F73311" w:rsidP="005D5D89">
            <w:pPr>
              <w:jc w:val="center"/>
              <w:rPr>
                <w:lang w:bidi="ar-SA"/>
              </w:rPr>
            </w:pPr>
            <w:r w:rsidRPr="00AE411D">
              <w:rPr>
                <w:lang w:bidi="ar-SA"/>
              </w:rPr>
              <w:t>Female</w:t>
            </w:r>
          </w:p>
        </w:tc>
        <w:tc>
          <w:tcPr>
            <w:tcW w:w="889" w:type="pct"/>
            <w:tcBorders>
              <w:top w:val="nil"/>
              <w:left w:val="nil"/>
              <w:bottom w:val="single" w:sz="4" w:space="0" w:color="auto"/>
              <w:right w:val="single" w:sz="4" w:space="0" w:color="auto"/>
            </w:tcBorders>
            <w:shd w:val="clear" w:color="auto" w:fill="auto"/>
            <w:noWrap/>
            <w:vAlign w:val="bottom"/>
            <w:hideMark/>
          </w:tcPr>
          <w:p w14:paraId="70201848" w14:textId="77777777" w:rsidR="00F73311" w:rsidRPr="00AE411D" w:rsidRDefault="00F73311" w:rsidP="005D5D89">
            <w:pPr>
              <w:jc w:val="center"/>
              <w:rPr>
                <w:lang w:bidi="ar-SA"/>
              </w:rPr>
            </w:pPr>
            <w:r w:rsidRPr="00AE411D">
              <w:rPr>
                <w:lang w:bidi="ar-SA"/>
              </w:rPr>
              <w:t>2.0</w:t>
            </w:r>
          </w:p>
        </w:tc>
        <w:tc>
          <w:tcPr>
            <w:tcW w:w="1110" w:type="pct"/>
            <w:tcBorders>
              <w:top w:val="nil"/>
              <w:left w:val="nil"/>
              <w:bottom w:val="single" w:sz="4" w:space="0" w:color="auto"/>
              <w:right w:val="single" w:sz="4" w:space="0" w:color="auto"/>
            </w:tcBorders>
            <w:shd w:val="clear" w:color="auto" w:fill="auto"/>
            <w:noWrap/>
            <w:vAlign w:val="bottom"/>
            <w:hideMark/>
          </w:tcPr>
          <w:p w14:paraId="1A5075EC" w14:textId="77777777" w:rsidR="00F73311" w:rsidRPr="00AE411D" w:rsidRDefault="00F73311" w:rsidP="005D5D89">
            <w:pPr>
              <w:jc w:val="center"/>
              <w:rPr>
                <w:lang w:bidi="ar-SA"/>
              </w:rPr>
            </w:pPr>
            <w:r w:rsidRPr="00AE411D">
              <w:rPr>
                <w:lang w:bidi="ar-SA"/>
              </w:rPr>
              <w:t>0.178</w:t>
            </w:r>
          </w:p>
        </w:tc>
        <w:tc>
          <w:tcPr>
            <w:tcW w:w="889" w:type="pct"/>
            <w:tcBorders>
              <w:top w:val="nil"/>
              <w:left w:val="nil"/>
              <w:bottom w:val="single" w:sz="4" w:space="0" w:color="auto"/>
              <w:right w:val="single" w:sz="4" w:space="0" w:color="auto"/>
            </w:tcBorders>
            <w:shd w:val="clear" w:color="auto" w:fill="auto"/>
            <w:noWrap/>
            <w:vAlign w:val="bottom"/>
            <w:hideMark/>
          </w:tcPr>
          <w:p w14:paraId="1BC8AAA4" w14:textId="77777777" w:rsidR="00F73311" w:rsidRPr="00AE411D" w:rsidRDefault="00F73311" w:rsidP="005D5D89">
            <w:pPr>
              <w:jc w:val="center"/>
              <w:rPr>
                <w:lang w:bidi="ar-SA"/>
              </w:rPr>
            </w:pPr>
            <w:r w:rsidRPr="00AE411D">
              <w:rPr>
                <w:lang w:bidi="ar-SA"/>
              </w:rPr>
              <w:t>0.187</w:t>
            </w:r>
          </w:p>
        </w:tc>
        <w:tc>
          <w:tcPr>
            <w:tcW w:w="696" w:type="pct"/>
            <w:tcBorders>
              <w:top w:val="nil"/>
              <w:left w:val="nil"/>
              <w:bottom w:val="single" w:sz="4" w:space="0" w:color="auto"/>
              <w:right w:val="single" w:sz="4" w:space="0" w:color="auto"/>
            </w:tcBorders>
            <w:shd w:val="clear" w:color="auto" w:fill="auto"/>
            <w:noWrap/>
            <w:vAlign w:val="bottom"/>
            <w:hideMark/>
          </w:tcPr>
          <w:p w14:paraId="7C470920" w14:textId="77777777" w:rsidR="00F73311" w:rsidRPr="00AE411D" w:rsidRDefault="00F73311" w:rsidP="005D5D89">
            <w:pPr>
              <w:jc w:val="center"/>
              <w:rPr>
                <w:lang w:bidi="ar-SA"/>
              </w:rPr>
            </w:pPr>
            <w:r w:rsidRPr="00AE411D">
              <w:rPr>
                <w:lang w:bidi="ar-SA"/>
              </w:rPr>
              <w:t>0.365</w:t>
            </w:r>
          </w:p>
        </w:tc>
        <w:tc>
          <w:tcPr>
            <w:tcW w:w="447" w:type="pct"/>
            <w:tcBorders>
              <w:top w:val="nil"/>
              <w:left w:val="nil"/>
              <w:bottom w:val="single" w:sz="4" w:space="0" w:color="auto"/>
              <w:right w:val="single" w:sz="4" w:space="0" w:color="auto"/>
            </w:tcBorders>
            <w:shd w:val="clear" w:color="auto" w:fill="auto"/>
            <w:noWrap/>
            <w:vAlign w:val="center"/>
            <w:hideMark/>
          </w:tcPr>
          <w:p w14:paraId="4C360FA1" w14:textId="77777777" w:rsidR="00F73311" w:rsidRPr="00AE411D" w:rsidRDefault="00F73311" w:rsidP="00F73311">
            <w:pPr>
              <w:tabs>
                <w:tab w:val="decimal" w:pos="567"/>
              </w:tabs>
              <w:rPr>
                <w:lang w:bidi="ar-SA"/>
              </w:rPr>
            </w:pPr>
            <w:r w:rsidRPr="00AE411D">
              <w:rPr>
                <w:lang w:bidi="ar-SA"/>
              </w:rPr>
              <w:t>12</w:t>
            </w:r>
          </w:p>
        </w:tc>
      </w:tr>
      <w:tr w:rsidR="00F73311" w:rsidRPr="007F0A79" w14:paraId="653E8A61" w14:textId="77777777" w:rsidTr="00CE0F20">
        <w:trPr>
          <w:trHeight w:val="290"/>
        </w:trPr>
        <w:tc>
          <w:tcPr>
            <w:tcW w:w="485" w:type="pct"/>
            <w:vMerge/>
            <w:tcBorders>
              <w:top w:val="nil"/>
              <w:left w:val="single" w:sz="4" w:space="0" w:color="auto"/>
              <w:bottom w:val="single" w:sz="4" w:space="0" w:color="auto"/>
              <w:right w:val="single" w:sz="4" w:space="0" w:color="auto"/>
            </w:tcBorders>
            <w:hideMark/>
          </w:tcPr>
          <w:p w14:paraId="647C88F2" w14:textId="77777777" w:rsidR="00F73311" w:rsidRPr="00AE411D" w:rsidRDefault="00F73311">
            <w:pPr>
              <w:jc w:val="center"/>
              <w:rPr>
                <w:lang w:bidi="ar-SA"/>
              </w:rPr>
            </w:pPr>
          </w:p>
        </w:tc>
        <w:tc>
          <w:tcPr>
            <w:tcW w:w="485" w:type="pct"/>
            <w:tcBorders>
              <w:top w:val="nil"/>
              <w:left w:val="nil"/>
              <w:bottom w:val="single" w:sz="4" w:space="0" w:color="auto"/>
              <w:right w:val="single" w:sz="4" w:space="0" w:color="auto"/>
            </w:tcBorders>
            <w:shd w:val="clear" w:color="auto" w:fill="auto"/>
            <w:noWrap/>
            <w:vAlign w:val="bottom"/>
            <w:hideMark/>
          </w:tcPr>
          <w:p w14:paraId="189E9664" w14:textId="77777777" w:rsidR="00F73311" w:rsidRPr="00AE411D" w:rsidRDefault="00F73311" w:rsidP="005D5D89">
            <w:pPr>
              <w:jc w:val="center"/>
              <w:rPr>
                <w:lang w:bidi="ar-SA"/>
              </w:rPr>
            </w:pPr>
            <w:r w:rsidRPr="00AE411D">
              <w:rPr>
                <w:lang w:bidi="ar-SA"/>
              </w:rPr>
              <w:t>Male</w:t>
            </w:r>
          </w:p>
        </w:tc>
        <w:tc>
          <w:tcPr>
            <w:tcW w:w="889" w:type="pct"/>
            <w:tcBorders>
              <w:top w:val="nil"/>
              <w:left w:val="nil"/>
              <w:bottom w:val="single" w:sz="4" w:space="0" w:color="auto"/>
              <w:right w:val="single" w:sz="4" w:space="0" w:color="auto"/>
            </w:tcBorders>
            <w:shd w:val="clear" w:color="auto" w:fill="auto"/>
            <w:noWrap/>
            <w:vAlign w:val="bottom"/>
            <w:hideMark/>
          </w:tcPr>
          <w:p w14:paraId="16FC3214" w14:textId="77777777" w:rsidR="00F73311" w:rsidRPr="00AE411D" w:rsidRDefault="00F73311" w:rsidP="005D5D89">
            <w:pPr>
              <w:jc w:val="center"/>
              <w:rPr>
                <w:lang w:bidi="ar-SA"/>
              </w:rPr>
            </w:pPr>
            <w:r w:rsidRPr="00AE411D">
              <w:rPr>
                <w:lang w:bidi="ar-SA"/>
              </w:rPr>
              <w:t>1.9</w:t>
            </w:r>
          </w:p>
        </w:tc>
        <w:tc>
          <w:tcPr>
            <w:tcW w:w="1110" w:type="pct"/>
            <w:tcBorders>
              <w:top w:val="nil"/>
              <w:left w:val="nil"/>
              <w:bottom w:val="single" w:sz="4" w:space="0" w:color="auto"/>
              <w:right w:val="single" w:sz="4" w:space="0" w:color="auto"/>
            </w:tcBorders>
            <w:shd w:val="clear" w:color="auto" w:fill="auto"/>
            <w:noWrap/>
            <w:vAlign w:val="bottom"/>
            <w:hideMark/>
          </w:tcPr>
          <w:p w14:paraId="6419E222" w14:textId="77777777" w:rsidR="00F73311" w:rsidRPr="00AE411D" w:rsidRDefault="00F73311" w:rsidP="005D5D89">
            <w:pPr>
              <w:jc w:val="center"/>
              <w:rPr>
                <w:lang w:bidi="ar-SA"/>
              </w:rPr>
            </w:pPr>
            <w:r w:rsidRPr="00AE411D">
              <w:rPr>
                <w:lang w:bidi="ar-SA"/>
              </w:rPr>
              <w:t>0.170</w:t>
            </w:r>
          </w:p>
        </w:tc>
        <w:tc>
          <w:tcPr>
            <w:tcW w:w="889" w:type="pct"/>
            <w:tcBorders>
              <w:top w:val="nil"/>
              <w:left w:val="nil"/>
              <w:bottom w:val="single" w:sz="4" w:space="0" w:color="auto"/>
              <w:right w:val="single" w:sz="4" w:space="0" w:color="auto"/>
            </w:tcBorders>
            <w:shd w:val="clear" w:color="auto" w:fill="auto"/>
            <w:noWrap/>
            <w:vAlign w:val="bottom"/>
            <w:hideMark/>
          </w:tcPr>
          <w:p w14:paraId="50052D62" w14:textId="77777777" w:rsidR="00F73311" w:rsidRPr="00AE411D" w:rsidRDefault="00F73311" w:rsidP="005D5D89">
            <w:pPr>
              <w:jc w:val="center"/>
              <w:rPr>
                <w:lang w:bidi="ar-SA"/>
              </w:rPr>
            </w:pPr>
            <w:r w:rsidRPr="00AE411D">
              <w:rPr>
                <w:lang w:bidi="ar-SA"/>
              </w:rPr>
              <w:t>0.262</w:t>
            </w:r>
          </w:p>
        </w:tc>
        <w:tc>
          <w:tcPr>
            <w:tcW w:w="696" w:type="pct"/>
            <w:tcBorders>
              <w:top w:val="nil"/>
              <w:left w:val="nil"/>
              <w:bottom w:val="single" w:sz="4" w:space="0" w:color="auto"/>
              <w:right w:val="single" w:sz="4" w:space="0" w:color="auto"/>
            </w:tcBorders>
            <w:shd w:val="clear" w:color="auto" w:fill="auto"/>
            <w:noWrap/>
            <w:vAlign w:val="bottom"/>
            <w:hideMark/>
          </w:tcPr>
          <w:p w14:paraId="71AAEC2E" w14:textId="77777777" w:rsidR="00F73311" w:rsidRPr="00AE411D" w:rsidRDefault="00F73311" w:rsidP="005D5D89">
            <w:pPr>
              <w:jc w:val="center"/>
              <w:rPr>
                <w:lang w:bidi="ar-SA"/>
              </w:rPr>
            </w:pPr>
            <w:r w:rsidRPr="00AE411D">
              <w:rPr>
                <w:lang w:bidi="ar-SA"/>
              </w:rPr>
              <w:t>0.432</w:t>
            </w:r>
          </w:p>
        </w:tc>
        <w:tc>
          <w:tcPr>
            <w:tcW w:w="447" w:type="pct"/>
            <w:tcBorders>
              <w:top w:val="nil"/>
              <w:left w:val="nil"/>
              <w:bottom w:val="single" w:sz="4" w:space="0" w:color="auto"/>
              <w:right w:val="single" w:sz="4" w:space="0" w:color="auto"/>
            </w:tcBorders>
            <w:shd w:val="clear" w:color="auto" w:fill="auto"/>
            <w:noWrap/>
            <w:vAlign w:val="center"/>
            <w:hideMark/>
          </w:tcPr>
          <w:p w14:paraId="453389E9" w14:textId="77777777" w:rsidR="00F73311" w:rsidRPr="00AE411D" w:rsidRDefault="00F73311" w:rsidP="00F73311">
            <w:pPr>
              <w:tabs>
                <w:tab w:val="decimal" w:pos="567"/>
              </w:tabs>
              <w:rPr>
                <w:lang w:bidi="ar-SA"/>
              </w:rPr>
            </w:pPr>
            <w:r w:rsidRPr="00AE411D">
              <w:rPr>
                <w:lang w:bidi="ar-SA"/>
              </w:rPr>
              <w:t>14</w:t>
            </w:r>
          </w:p>
        </w:tc>
      </w:tr>
      <w:tr w:rsidR="00F73311" w:rsidRPr="007F0A79" w14:paraId="5622F12F" w14:textId="77777777" w:rsidTr="00CE0F20">
        <w:trPr>
          <w:trHeight w:val="290"/>
        </w:trPr>
        <w:tc>
          <w:tcPr>
            <w:tcW w:w="485" w:type="pct"/>
            <w:vMerge w:val="restart"/>
            <w:tcBorders>
              <w:top w:val="nil"/>
              <w:left w:val="single" w:sz="4" w:space="0" w:color="auto"/>
              <w:bottom w:val="single" w:sz="4" w:space="0" w:color="auto"/>
              <w:right w:val="single" w:sz="4" w:space="0" w:color="auto"/>
            </w:tcBorders>
            <w:shd w:val="clear" w:color="auto" w:fill="EAF1DD" w:themeFill="accent3" w:themeFillTint="33"/>
            <w:noWrap/>
            <w:hideMark/>
          </w:tcPr>
          <w:p w14:paraId="2B4FAA2B" w14:textId="77777777" w:rsidR="00F73311" w:rsidRPr="00AE411D" w:rsidRDefault="00F73311" w:rsidP="004B0630">
            <w:pPr>
              <w:jc w:val="center"/>
              <w:rPr>
                <w:lang w:bidi="ar-SA"/>
              </w:rPr>
            </w:pPr>
            <w:r w:rsidRPr="00AE411D">
              <w:rPr>
                <w:lang w:bidi="ar-SA"/>
              </w:rPr>
              <w:t>31-50</w:t>
            </w:r>
          </w:p>
        </w:tc>
        <w:tc>
          <w:tcPr>
            <w:tcW w:w="485" w:type="pct"/>
            <w:tcBorders>
              <w:top w:val="nil"/>
              <w:left w:val="nil"/>
              <w:bottom w:val="single" w:sz="4" w:space="0" w:color="auto"/>
              <w:right w:val="single" w:sz="4" w:space="0" w:color="auto"/>
            </w:tcBorders>
            <w:shd w:val="clear" w:color="auto" w:fill="EAF1DD" w:themeFill="accent3" w:themeFillTint="33"/>
            <w:noWrap/>
            <w:vAlign w:val="bottom"/>
            <w:hideMark/>
          </w:tcPr>
          <w:p w14:paraId="2A4001EC" w14:textId="77777777" w:rsidR="00F73311" w:rsidRPr="00AE411D" w:rsidRDefault="00F73311" w:rsidP="005D5D89">
            <w:pPr>
              <w:jc w:val="center"/>
              <w:rPr>
                <w:lang w:bidi="ar-SA"/>
              </w:rPr>
            </w:pPr>
            <w:r w:rsidRPr="00AE411D">
              <w:rPr>
                <w:lang w:bidi="ar-SA"/>
              </w:rPr>
              <w:t>Female</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74968D74" w14:textId="77777777" w:rsidR="00F73311" w:rsidRPr="00AE411D" w:rsidRDefault="00F73311" w:rsidP="005D5D89">
            <w:pPr>
              <w:jc w:val="center"/>
              <w:rPr>
                <w:lang w:bidi="ar-SA"/>
              </w:rPr>
            </w:pPr>
            <w:r w:rsidRPr="00AE411D">
              <w:rPr>
                <w:lang w:bidi="ar-SA"/>
              </w:rPr>
              <w:t>1.4</w:t>
            </w:r>
          </w:p>
        </w:tc>
        <w:tc>
          <w:tcPr>
            <w:tcW w:w="1110" w:type="pct"/>
            <w:tcBorders>
              <w:top w:val="nil"/>
              <w:left w:val="nil"/>
              <w:bottom w:val="single" w:sz="4" w:space="0" w:color="auto"/>
              <w:right w:val="single" w:sz="4" w:space="0" w:color="auto"/>
            </w:tcBorders>
            <w:shd w:val="clear" w:color="auto" w:fill="EAF1DD" w:themeFill="accent3" w:themeFillTint="33"/>
            <w:noWrap/>
            <w:vAlign w:val="bottom"/>
            <w:hideMark/>
          </w:tcPr>
          <w:p w14:paraId="4EBD895C" w14:textId="77777777" w:rsidR="00F73311" w:rsidRPr="00AE411D" w:rsidRDefault="00F73311" w:rsidP="005D5D89">
            <w:pPr>
              <w:jc w:val="center"/>
              <w:rPr>
                <w:lang w:bidi="ar-SA"/>
              </w:rPr>
            </w:pPr>
            <w:r w:rsidRPr="00AE411D">
              <w:rPr>
                <w:lang w:bidi="ar-SA"/>
              </w:rPr>
              <w:t>0.127</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584B6FC1" w14:textId="77777777" w:rsidR="00F73311" w:rsidRPr="00AE411D" w:rsidRDefault="00F73311" w:rsidP="005D5D89">
            <w:pPr>
              <w:jc w:val="center"/>
              <w:rPr>
                <w:lang w:bidi="ar-SA"/>
              </w:rPr>
            </w:pPr>
            <w:r w:rsidRPr="00AE411D">
              <w:rPr>
                <w:lang w:bidi="ar-SA"/>
              </w:rPr>
              <w:t>0.234</w:t>
            </w:r>
          </w:p>
        </w:tc>
        <w:tc>
          <w:tcPr>
            <w:tcW w:w="696" w:type="pct"/>
            <w:tcBorders>
              <w:top w:val="nil"/>
              <w:left w:val="nil"/>
              <w:bottom w:val="single" w:sz="4" w:space="0" w:color="auto"/>
              <w:right w:val="single" w:sz="4" w:space="0" w:color="auto"/>
            </w:tcBorders>
            <w:shd w:val="clear" w:color="auto" w:fill="EAF1DD" w:themeFill="accent3" w:themeFillTint="33"/>
            <w:noWrap/>
            <w:vAlign w:val="bottom"/>
            <w:hideMark/>
          </w:tcPr>
          <w:p w14:paraId="610B1714" w14:textId="77777777" w:rsidR="00F73311" w:rsidRPr="00AE411D" w:rsidRDefault="00F73311" w:rsidP="005D5D89">
            <w:pPr>
              <w:jc w:val="center"/>
              <w:rPr>
                <w:lang w:bidi="ar-SA"/>
              </w:rPr>
            </w:pPr>
            <w:r w:rsidRPr="00AE411D">
              <w:rPr>
                <w:lang w:bidi="ar-SA"/>
              </w:rPr>
              <w:t>0.361</w:t>
            </w:r>
          </w:p>
        </w:tc>
        <w:tc>
          <w:tcPr>
            <w:tcW w:w="447" w:type="pct"/>
            <w:tcBorders>
              <w:top w:val="nil"/>
              <w:left w:val="nil"/>
              <w:bottom w:val="single" w:sz="4" w:space="0" w:color="auto"/>
              <w:right w:val="single" w:sz="4" w:space="0" w:color="auto"/>
            </w:tcBorders>
            <w:shd w:val="clear" w:color="auto" w:fill="EAF1DD" w:themeFill="accent3" w:themeFillTint="33"/>
            <w:noWrap/>
            <w:vAlign w:val="center"/>
            <w:hideMark/>
          </w:tcPr>
          <w:p w14:paraId="01813D8D" w14:textId="77777777" w:rsidR="00F73311" w:rsidRPr="00AE411D" w:rsidRDefault="00F73311" w:rsidP="00F73311">
            <w:pPr>
              <w:tabs>
                <w:tab w:val="decimal" w:pos="567"/>
              </w:tabs>
              <w:rPr>
                <w:lang w:bidi="ar-SA"/>
              </w:rPr>
            </w:pPr>
            <w:r w:rsidRPr="00AE411D">
              <w:rPr>
                <w:lang w:bidi="ar-SA"/>
              </w:rPr>
              <w:t>12</w:t>
            </w:r>
          </w:p>
        </w:tc>
      </w:tr>
      <w:tr w:rsidR="00F73311" w:rsidRPr="007F0A79" w14:paraId="2B262944" w14:textId="77777777" w:rsidTr="00CE0F20">
        <w:trPr>
          <w:trHeight w:val="290"/>
        </w:trPr>
        <w:tc>
          <w:tcPr>
            <w:tcW w:w="485" w:type="pct"/>
            <w:vMerge/>
            <w:tcBorders>
              <w:top w:val="nil"/>
              <w:left w:val="single" w:sz="4" w:space="0" w:color="auto"/>
              <w:bottom w:val="single" w:sz="4" w:space="0" w:color="auto"/>
              <w:right w:val="single" w:sz="4" w:space="0" w:color="auto"/>
            </w:tcBorders>
            <w:shd w:val="clear" w:color="auto" w:fill="EAF1DD" w:themeFill="accent3" w:themeFillTint="33"/>
            <w:hideMark/>
          </w:tcPr>
          <w:p w14:paraId="158B834D" w14:textId="77777777" w:rsidR="00F73311" w:rsidRPr="00AE411D" w:rsidRDefault="00F73311">
            <w:pPr>
              <w:jc w:val="center"/>
              <w:rPr>
                <w:lang w:bidi="ar-SA"/>
              </w:rPr>
            </w:pPr>
          </w:p>
        </w:tc>
        <w:tc>
          <w:tcPr>
            <w:tcW w:w="485" w:type="pct"/>
            <w:tcBorders>
              <w:top w:val="nil"/>
              <w:left w:val="nil"/>
              <w:bottom w:val="single" w:sz="4" w:space="0" w:color="auto"/>
              <w:right w:val="single" w:sz="4" w:space="0" w:color="auto"/>
            </w:tcBorders>
            <w:shd w:val="clear" w:color="auto" w:fill="EAF1DD" w:themeFill="accent3" w:themeFillTint="33"/>
            <w:noWrap/>
            <w:vAlign w:val="bottom"/>
            <w:hideMark/>
          </w:tcPr>
          <w:p w14:paraId="2438DD24" w14:textId="77777777" w:rsidR="00F73311" w:rsidRPr="00AE411D" w:rsidRDefault="00F73311" w:rsidP="005D5D89">
            <w:pPr>
              <w:jc w:val="center"/>
              <w:rPr>
                <w:lang w:bidi="ar-SA"/>
              </w:rPr>
            </w:pPr>
            <w:r w:rsidRPr="00AE411D">
              <w:rPr>
                <w:lang w:bidi="ar-SA"/>
              </w:rPr>
              <w:t>Male</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34888273" w14:textId="77777777" w:rsidR="00F73311" w:rsidRPr="00AE411D" w:rsidRDefault="00F73311" w:rsidP="005D5D89">
            <w:pPr>
              <w:jc w:val="center"/>
              <w:rPr>
                <w:lang w:bidi="ar-SA"/>
              </w:rPr>
            </w:pPr>
            <w:r w:rsidRPr="00AE411D">
              <w:rPr>
                <w:lang w:bidi="ar-SA"/>
              </w:rPr>
              <w:t>1.7</w:t>
            </w:r>
          </w:p>
        </w:tc>
        <w:tc>
          <w:tcPr>
            <w:tcW w:w="1110" w:type="pct"/>
            <w:tcBorders>
              <w:top w:val="nil"/>
              <w:left w:val="nil"/>
              <w:bottom w:val="single" w:sz="4" w:space="0" w:color="auto"/>
              <w:right w:val="single" w:sz="4" w:space="0" w:color="auto"/>
            </w:tcBorders>
            <w:shd w:val="clear" w:color="auto" w:fill="EAF1DD" w:themeFill="accent3" w:themeFillTint="33"/>
            <w:noWrap/>
            <w:vAlign w:val="bottom"/>
            <w:hideMark/>
          </w:tcPr>
          <w:p w14:paraId="74013D7B" w14:textId="77777777" w:rsidR="00F73311" w:rsidRPr="00AE411D" w:rsidRDefault="00F73311" w:rsidP="005D5D89">
            <w:pPr>
              <w:jc w:val="center"/>
              <w:rPr>
                <w:lang w:bidi="ar-SA"/>
              </w:rPr>
            </w:pPr>
            <w:r w:rsidRPr="00AE411D">
              <w:rPr>
                <w:lang w:bidi="ar-SA"/>
              </w:rPr>
              <w:t>0.151</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6EA0915D" w14:textId="77777777" w:rsidR="00F73311" w:rsidRPr="00AE411D" w:rsidRDefault="00F73311" w:rsidP="005D5D89">
            <w:pPr>
              <w:jc w:val="center"/>
              <w:rPr>
                <w:lang w:bidi="ar-SA"/>
              </w:rPr>
            </w:pPr>
            <w:r w:rsidRPr="00AE411D">
              <w:rPr>
                <w:lang w:bidi="ar-SA"/>
              </w:rPr>
              <w:t>0.27</w:t>
            </w:r>
            <w:r>
              <w:rPr>
                <w:lang w:bidi="ar-SA"/>
              </w:rPr>
              <w:t>0</w:t>
            </w:r>
          </w:p>
        </w:tc>
        <w:tc>
          <w:tcPr>
            <w:tcW w:w="696" w:type="pct"/>
            <w:tcBorders>
              <w:top w:val="nil"/>
              <w:left w:val="nil"/>
              <w:bottom w:val="single" w:sz="4" w:space="0" w:color="auto"/>
              <w:right w:val="single" w:sz="4" w:space="0" w:color="auto"/>
            </w:tcBorders>
            <w:shd w:val="clear" w:color="auto" w:fill="EAF1DD" w:themeFill="accent3" w:themeFillTint="33"/>
            <w:noWrap/>
            <w:vAlign w:val="bottom"/>
            <w:hideMark/>
          </w:tcPr>
          <w:p w14:paraId="20F59C64" w14:textId="77777777" w:rsidR="00F73311" w:rsidRPr="00AE411D" w:rsidRDefault="00F73311" w:rsidP="005D5D89">
            <w:pPr>
              <w:jc w:val="center"/>
              <w:rPr>
                <w:lang w:bidi="ar-SA"/>
              </w:rPr>
            </w:pPr>
            <w:r w:rsidRPr="00AE411D">
              <w:rPr>
                <w:lang w:bidi="ar-SA"/>
              </w:rPr>
              <w:t>0.421</w:t>
            </w:r>
          </w:p>
        </w:tc>
        <w:tc>
          <w:tcPr>
            <w:tcW w:w="447" w:type="pct"/>
            <w:tcBorders>
              <w:top w:val="nil"/>
              <w:left w:val="nil"/>
              <w:bottom w:val="single" w:sz="4" w:space="0" w:color="auto"/>
              <w:right w:val="single" w:sz="4" w:space="0" w:color="auto"/>
            </w:tcBorders>
            <w:shd w:val="clear" w:color="auto" w:fill="EAF1DD" w:themeFill="accent3" w:themeFillTint="33"/>
            <w:noWrap/>
            <w:vAlign w:val="center"/>
            <w:hideMark/>
          </w:tcPr>
          <w:p w14:paraId="097D68B2" w14:textId="77777777" w:rsidR="00F73311" w:rsidRPr="00AE411D" w:rsidRDefault="00F73311" w:rsidP="00F73311">
            <w:pPr>
              <w:tabs>
                <w:tab w:val="decimal" w:pos="567"/>
              </w:tabs>
              <w:rPr>
                <w:lang w:bidi="ar-SA"/>
              </w:rPr>
            </w:pPr>
            <w:r w:rsidRPr="00AE411D">
              <w:rPr>
                <w:lang w:bidi="ar-SA"/>
              </w:rPr>
              <w:t>14</w:t>
            </w:r>
          </w:p>
        </w:tc>
      </w:tr>
      <w:tr w:rsidR="00F73311" w:rsidRPr="007F0A79" w14:paraId="0AD0C159" w14:textId="77777777" w:rsidTr="00CE0F20">
        <w:trPr>
          <w:trHeight w:val="290"/>
        </w:trPr>
        <w:tc>
          <w:tcPr>
            <w:tcW w:w="485" w:type="pct"/>
            <w:vMerge w:val="restart"/>
            <w:tcBorders>
              <w:top w:val="nil"/>
              <w:left w:val="single" w:sz="4" w:space="0" w:color="auto"/>
              <w:bottom w:val="single" w:sz="4" w:space="0" w:color="auto"/>
              <w:right w:val="single" w:sz="4" w:space="0" w:color="auto"/>
            </w:tcBorders>
            <w:shd w:val="clear" w:color="auto" w:fill="auto"/>
            <w:noWrap/>
            <w:hideMark/>
          </w:tcPr>
          <w:p w14:paraId="7209DCCF" w14:textId="77777777" w:rsidR="00F73311" w:rsidRPr="00AE411D" w:rsidRDefault="00F73311" w:rsidP="004B0630">
            <w:pPr>
              <w:jc w:val="center"/>
              <w:rPr>
                <w:lang w:bidi="ar-SA"/>
              </w:rPr>
            </w:pPr>
            <w:r w:rsidRPr="00AE411D">
              <w:rPr>
                <w:lang w:bidi="ar-SA"/>
              </w:rPr>
              <w:t>51-70</w:t>
            </w:r>
          </w:p>
        </w:tc>
        <w:tc>
          <w:tcPr>
            <w:tcW w:w="485" w:type="pct"/>
            <w:tcBorders>
              <w:top w:val="nil"/>
              <w:left w:val="nil"/>
              <w:bottom w:val="single" w:sz="4" w:space="0" w:color="auto"/>
              <w:right w:val="single" w:sz="4" w:space="0" w:color="auto"/>
            </w:tcBorders>
            <w:shd w:val="clear" w:color="auto" w:fill="auto"/>
            <w:noWrap/>
            <w:vAlign w:val="bottom"/>
            <w:hideMark/>
          </w:tcPr>
          <w:p w14:paraId="7F68D97F" w14:textId="77777777" w:rsidR="00F73311" w:rsidRPr="00AE411D" w:rsidRDefault="00F73311" w:rsidP="005D5D89">
            <w:pPr>
              <w:jc w:val="center"/>
              <w:rPr>
                <w:lang w:bidi="ar-SA"/>
              </w:rPr>
            </w:pPr>
            <w:r w:rsidRPr="00AE411D">
              <w:rPr>
                <w:lang w:bidi="ar-SA"/>
              </w:rPr>
              <w:t>Female</w:t>
            </w:r>
          </w:p>
        </w:tc>
        <w:tc>
          <w:tcPr>
            <w:tcW w:w="889" w:type="pct"/>
            <w:tcBorders>
              <w:top w:val="nil"/>
              <w:left w:val="nil"/>
              <w:bottom w:val="single" w:sz="4" w:space="0" w:color="auto"/>
              <w:right w:val="single" w:sz="4" w:space="0" w:color="auto"/>
            </w:tcBorders>
            <w:shd w:val="clear" w:color="auto" w:fill="auto"/>
            <w:noWrap/>
            <w:vAlign w:val="bottom"/>
            <w:hideMark/>
          </w:tcPr>
          <w:p w14:paraId="746CD758" w14:textId="77777777" w:rsidR="00F73311" w:rsidRPr="00AE411D" w:rsidRDefault="00F73311" w:rsidP="005D5D89">
            <w:pPr>
              <w:jc w:val="center"/>
              <w:rPr>
                <w:lang w:bidi="ar-SA"/>
              </w:rPr>
            </w:pPr>
            <w:r w:rsidRPr="00AE411D">
              <w:rPr>
                <w:lang w:bidi="ar-SA"/>
              </w:rPr>
              <w:t>1.5</w:t>
            </w:r>
          </w:p>
        </w:tc>
        <w:tc>
          <w:tcPr>
            <w:tcW w:w="1110" w:type="pct"/>
            <w:tcBorders>
              <w:top w:val="nil"/>
              <w:left w:val="nil"/>
              <w:bottom w:val="single" w:sz="4" w:space="0" w:color="auto"/>
              <w:right w:val="single" w:sz="4" w:space="0" w:color="auto"/>
            </w:tcBorders>
            <w:shd w:val="clear" w:color="auto" w:fill="auto"/>
            <w:noWrap/>
            <w:vAlign w:val="bottom"/>
            <w:hideMark/>
          </w:tcPr>
          <w:p w14:paraId="0E8E2EB4" w14:textId="77777777" w:rsidR="00F73311" w:rsidRPr="00AE411D" w:rsidRDefault="00F73311" w:rsidP="005D5D89">
            <w:pPr>
              <w:jc w:val="center"/>
              <w:rPr>
                <w:lang w:bidi="ar-SA"/>
              </w:rPr>
            </w:pPr>
            <w:r w:rsidRPr="00AE411D">
              <w:rPr>
                <w:lang w:bidi="ar-SA"/>
              </w:rPr>
              <w:t>0.132</w:t>
            </w:r>
          </w:p>
        </w:tc>
        <w:tc>
          <w:tcPr>
            <w:tcW w:w="889" w:type="pct"/>
            <w:tcBorders>
              <w:top w:val="nil"/>
              <w:left w:val="nil"/>
              <w:bottom w:val="single" w:sz="4" w:space="0" w:color="auto"/>
              <w:right w:val="single" w:sz="4" w:space="0" w:color="auto"/>
            </w:tcBorders>
            <w:shd w:val="clear" w:color="auto" w:fill="auto"/>
            <w:noWrap/>
            <w:vAlign w:val="bottom"/>
            <w:hideMark/>
          </w:tcPr>
          <w:p w14:paraId="7FA259DF" w14:textId="77777777" w:rsidR="00F73311" w:rsidRPr="00AE411D" w:rsidRDefault="00F73311" w:rsidP="005D5D89">
            <w:pPr>
              <w:jc w:val="center"/>
              <w:rPr>
                <w:lang w:bidi="ar-SA"/>
              </w:rPr>
            </w:pPr>
            <w:r w:rsidRPr="00AE411D">
              <w:rPr>
                <w:lang w:bidi="ar-SA"/>
              </w:rPr>
              <w:t>0.241</w:t>
            </w:r>
          </w:p>
        </w:tc>
        <w:tc>
          <w:tcPr>
            <w:tcW w:w="696" w:type="pct"/>
            <w:tcBorders>
              <w:top w:val="nil"/>
              <w:left w:val="nil"/>
              <w:bottom w:val="single" w:sz="4" w:space="0" w:color="auto"/>
              <w:right w:val="single" w:sz="4" w:space="0" w:color="auto"/>
            </w:tcBorders>
            <w:shd w:val="clear" w:color="auto" w:fill="auto"/>
            <w:noWrap/>
            <w:vAlign w:val="bottom"/>
            <w:hideMark/>
          </w:tcPr>
          <w:p w14:paraId="125EBFD8" w14:textId="77777777" w:rsidR="00F73311" w:rsidRPr="00AE411D" w:rsidRDefault="00F73311" w:rsidP="005D5D89">
            <w:pPr>
              <w:jc w:val="center"/>
              <w:rPr>
                <w:lang w:bidi="ar-SA"/>
              </w:rPr>
            </w:pPr>
            <w:r w:rsidRPr="00AE411D">
              <w:rPr>
                <w:lang w:bidi="ar-SA"/>
              </w:rPr>
              <w:t>0.373</w:t>
            </w:r>
          </w:p>
        </w:tc>
        <w:tc>
          <w:tcPr>
            <w:tcW w:w="447" w:type="pct"/>
            <w:tcBorders>
              <w:top w:val="nil"/>
              <w:left w:val="nil"/>
              <w:bottom w:val="single" w:sz="4" w:space="0" w:color="auto"/>
              <w:right w:val="single" w:sz="4" w:space="0" w:color="auto"/>
            </w:tcBorders>
            <w:shd w:val="clear" w:color="auto" w:fill="auto"/>
            <w:noWrap/>
            <w:vAlign w:val="center"/>
            <w:hideMark/>
          </w:tcPr>
          <w:p w14:paraId="57F27073" w14:textId="77777777" w:rsidR="00F73311" w:rsidRPr="00AE411D" w:rsidRDefault="00F73311" w:rsidP="00F73311">
            <w:pPr>
              <w:tabs>
                <w:tab w:val="decimal" w:pos="567"/>
              </w:tabs>
              <w:rPr>
                <w:lang w:bidi="ar-SA"/>
              </w:rPr>
            </w:pPr>
            <w:r w:rsidRPr="00AE411D">
              <w:rPr>
                <w:lang w:bidi="ar-SA"/>
              </w:rPr>
              <w:t>12</w:t>
            </w:r>
          </w:p>
        </w:tc>
      </w:tr>
      <w:tr w:rsidR="00F73311" w:rsidRPr="007F0A79" w14:paraId="51F420C3" w14:textId="77777777" w:rsidTr="00CE0F20">
        <w:trPr>
          <w:trHeight w:val="290"/>
        </w:trPr>
        <w:tc>
          <w:tcPr>
            <w:tcW w:w="485" w:type="pct"/>
            <w:vMerge/>
            <w:tcBorders>
              <w:top w:val="nil"/>
              <w:left w:val="single" w:sz="4" w:space="0" w:color="auto"/>
              <w:bottom w:val="single" w:sz="4" w:space="0" w:color="auto"/>
              <w:right w:val="single" w:sz="4" w:space="0" w:color="auto"/>
            </w:tcBorders>
            <w:hideMark/>
          </w:tcPr>
          <w:p w14:paraId="05963772" w14:textId="77777777" w:rsidR="00F73311" w:rsidRPr="00AE411D" w:rsidRDefault="00F73311">
            <w:pPr>
              <w:jc w:val="center"/>
              <w:rPr>
                <w:lang w:bidi="ar-SA"/>
              </w:rPr>
            </w:pPr>
          </w:p>
        </w:tc>
        <w:tc>
          <w:tcPr>
            <w:tcW w:w="485" w:type="pct"/>
            <w:tcBorders>
              <w:top w:val="nil"/>
              <w:left w:val="nil"/>
              <w:bottom w:val="single" w:sz="4" w:space="0" w:color="auto"/>
              <w:right w:val="single" w:sz="4" w:space="0" w:color="auto"/>
            </w:tcBorders>
            <w:shd w:val="clear" w:color="auto" w:fill="auto"/>
            <w:noWrap/>
            <w:vAlign w:val="bottom"/>
            <w:hideMark/>
          </w:tcPr>
          <w:p w14:paraId="6ED9C828" w14:textId="77777777" w:rsidR="00F73311" w:rsidRPr="00AE411D" w:rsidRDefault="00F73311" w:rsidP="005D5D89">
            <w:pPr>
              <w:jc w:val="center"/>
              <w:rPr>
                <w:lang w:bidi="ar-SA"/>
              </w:rPr>
            </w:pPr>
            <w:r w:rsidRPr="00AE411D">
              <w:rPr>
                <w:lang w:bidi="ar-SA"/>
              </w:rPr>
              <w:t>Male</w:t>
            </w:r>
          </w:p>
        </w:tc>
        <w:tc>
          <w:tcPr>
            <w:tcW w:w="889" w:type="pct"/>
            <w:tcBorders>
              <w:top w:val="nil"/>
              <w:left w:val="nil"/>
              <w:bottom w:val="single" w:sz="4" w:space="0" w:color="auto"/>
              <w:right w:val="single" w:sz="4" w:space="0" w:color="auto"/>
            </w:tcBorders>
            <w:shd w:val="clear" w:color="auto" w:fill="auto"/>
            <w:noWrap/>
            <w:vAlign w:val="bottom"/>
            <w:hideMark/>
          </w:tcPr>
          <w:p w14:paraId="33E0AC21" w14:textId="77777777" w:rsidR="00F73311" w:rsidRPr="00AE411D" w:rsidRDefault="00F73311" w:rsidP="005D5D89">
            <w:pPr>
              <w:jc w:val="center"/>
              <w:rPr>
                <w:lang w:bidi="ar-SA"/>
              </w:rPr>
            </w:pPr>
            <w:r w:rsidRPr="00AE411D">
              <w:rPr>
                <w:lang w:bidi="ar-SA"/>
              </w:rPr>
              <w:t>1.5</w:t>
            </w:r>
          </w:p>
        </w:tc>
        <w:tc>
          <w:tcPr>
            <w:tcW w:w="1110" w:type="pct"/>
            <w:tcBorders>
              <w:top w:val="nil"/>
              <w:left w:val="nil"/>
              <w:bottom w:val="single" w:sz="4" w:space="0" w:color="auto"/>
              <w:right w:val="single" w:sz="4" w:space="0" w:color="auto"/>
            </w:tcBorders>
            <w:shd w:val="clear" w:color="auto" w:fill="auto"/>
            <w:noWrap/>
            <w:vAlign w:val="bottom"/>
            <w:hideMark/>
          </w:tcPr>
          <w:p w14:paraId="4D3842BB" w14:textId="77777777" w:rsidR="00F73311" w:rsidRPr="00AE411D" w:rsidRDefault="00F73311" w:rsidP="005D5D89">
            <w:pPr>
              <w:jc w:val="center"/>
              <w:rPr>
                <w:lang w:bidi="ar-SA"/>
              </w:rPr>
            </w:pPr>
            <w:r w:rsidRPr="00AE411D">
              <w:rPr>
                <w:lang w:bidi="ar-SA"/>
              </w:rPr>
              <w:t>0.135</w:t>
            </w:r>
          </w:p>
        </w:tc>
        <w:tc>
          <w:tcPr>
            <w:tcW w:w="889" w:type="pct"/>
            <w:tcBorders>
              <w:top w:val="nil"/>
              <w:left w:val="nil"/>
              <w:bottom w:val="single" w:sz="4" w:space="0" w:color="auto"/>
              <w:right w:val="single" w:sz="4" w:space="0" w:color="auto"/>
            </w:tcBorders>
            <w:shd w:val="clear" w:color="auto" w:fill="auto"/>
            <w:noWrap/>
            <w:vAlign w:val="bottom"/>
            <w:hideMark/>
          </w:tcPr>
          <w:p w14:paraId="0264EA7C" w14:textId="77777777" w:rsidR="00F73311" w:rsidRPr="00AE411D" w:rsidRDefault="00F73311" w:rsidP="005D5D89">
            <w:pPr>
              <w:jc w:val="center"/>
              <w:rPr>
                <w:lang w:bidi="ar-SA"/>
              </w:rPr>
            </w:pPr>
            <w:r w:rsidRPr="00AE411D">
              <w:rPr>
                <w:lang w:bidi="ar-SA"/>
              </w:rPr>
              <w:t>0.258</w:t>
            </w:r>
          </w:p>
        </w:tc>
        <w:tc>
          <w:tcPr>
            <w:tcW w:w="696" w:type="pct"/>
            <w:tcBorders>
              <w:top w:val="nil"/>
              <w:left w:val="nil"/>
              <w:bottom w:val="single" w:sz="4" w:space="0" w:color="auto"/>
              <w:right w:val="single" w:sz="4" w:space="0" w:color="auto"/>
            </w:tcBorders>
            <w:shd w:val="clear" w:color="auto" w:fill="auto"/>
            <w:noWrap/>
            <w:vAlign w:val="bottom"/>
            <w:hideMark/>
          </w:tcPr>
          <w:p w14:paraId="748455C2" w14:textId="77777777" w:rsidR="00F73311" w:rsidRPr="00AE411D" w:rsidRDefault="00F73311" w:rsidP="005D5D89">
            <w:pPr>
              <w:jc w:val="center"/>
              <w:rPr>
                <w:lang w:bidi="ar-SA"/>
              </w:rPr>
            </w:pPr>
            <w:r w:rsidRPr="00AE411D">
              <w:rPr>
                <w:lang w:bidi="ar-SA"/>
              </w:rPr>
              <w:t>0.393</w:t>
            </w:r>
          </w:p>
        </w:tc>
        <w:tc>
          <w:tcPr>
            <w:tcW w:w="447" w:type="pct"/>
            <w:tcBorders>
              <w:top w:val="nil"/>
              <w:left w:val="nil"/>
              <w:bottom w:val="single" w:sz="4" w:space="0" w:color="auto"/>
              <w:right w:val="single" w:sz="4" w:space="0" w:color="auto"/>
            </w:tcBorders>
            <w:shd w:val="clear" w:color="auto" w:fill="auto"/>
            <w:noWrap/>
            <w:vAlign w:val="center"/>
            <w:hideMark/>
          </w:tcPr>
          <w:p w14:paraId="13DAF4F5" w14:textId="77777777" w:rsidR="00F73311" w:rsidRPr="00AE411D" w:rsidRDefault="00F73311" w:rsidP="00F73311">
            <w:pPr>
              <w:tabs>
                <w:tab w:val="decimal" w:pos="567"/>
              </w:tabs>
              <w:rPr>
                <w:lang w:bidi="ar-SA"/>
              </w:rPr>
            </w:pPr>
            <w:r w:rsidRPr="00AE411D">
              <w:rPr>
                <w:lang w:bidi="ar-SA"/>
              </w:rPr>
              <w:t>13</w:t>
            </w:r>
          </w:p>
        </w:tc>
      </w:tr>
      <w:tr w:rsidR="00F73311" w:rsidRPr="007F0A79" w14:paraId="0E59FEA8" w14:textId="77777777" w:rsidTr="00CE0F20">
        <w:trPr>
          <w:trHeight w:val="290"/>
        </w:trPr>
        <w:tc>
          <w:tcPr>
            <w:tcW w:w="485" w:type="pct"/>
            <w:vMerge w:val="restart"/>
            <w:tcBorders>
              <w:top w:val="nil"/>
              <w:left w:val="single" w:sz="4" w:space="0" w:color="auto"/>
              <w:bottom w:val="single" w:sz="4" w:space="0" w:color="auto"/>
              <w:right w:val="single" w:sz="4" w:space="0" w:color="auto"/>
            </w:tcBorders>
            <w:shd w:val="clear" w:color="auto" w:fill="EAF1DD" w:themeFill="accent3" w:themeFillTint="33"/>
            <w:noWrap/>
            <w:hideMark/>
          </w:tcPr>
          <w:p w14:paraId="1D99B6CD" w14:textId="77777777" w:rsidR="00F73311" w:rsidRPr="00AE411D" w:rsidRDefault="00F73311" w:rsidP="004B0630">
            <w:pPr>
              <w:jc w:val="center"/>
              <w:rPr>
                <w:lang w:bidi="ar-SA"/>
              </w:rPr>
            </w:pPr>
            <w:r w:rsidRPr="00AE411D">
              <w:rPr>
                <w:lang w:bidi="ar-SA"/>
              </w:rPr>
              <w:t>&gt;= 71</w:t>
            </w:r>
          </w:p>
        </w:tc>
        <w:tc>
          <w:tcPr>
            <w:tcW w:w="485" w:type="pct"/>
            <w:tcBorders>
              <w:top w:val="nil"/>
              <w:left w:val="nil"/>
              <w:bottom w:val="single" w:sz="4" w:space="0" w:color="auto"/>
              <w:right w:val="single" w:sz="4" w:space="0" w:color="auto"/>
            </w:tcBorders>
            <w:shd w:val="clear" w:color="auto" w:fill="EAF1DD" w:themeFill="accent3" w:themeFillTint="33"/>
            <w:noWrap/>
            <w:vAlign w:val="bottom"/>
            <w:hideMark/>
          </w:tcPr>
          <w:p w14:paraId="2D06A7C5" w14:textId="77777777" w:rsidR="00F73311" w:rsidRPr="00AE411D" w:rsidRDefault="00F73311" w:rsidP="005D5D89">
            <w:pPr>
              <w:jc w:val="center"/>
              <w:rPr>
                <w:lang w:bidi="ar-SA"/>
              </w:rPr>
            </w:pPr>
            <w:r w:rsidRPr="00AE411D">
              <w:rPr>
                <w:lang w:bidi="ar-SA"/>
              </w:rPr>
              <w:t>Female</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735F0D7A" w14:textId="77777777" w:rsidR="00F73311" w:rsidRPr="00AE411D" w:rsidRDefault="00F73311" w:rsidP="005D5D89">
            <w:pPr>
              <w:jc w:val="center"/>
              <w:rPr>
                <w:lang w:bidi="ar-SA"/>
              </w:rPr>
            </w:pPr>
            <w:r w:rsidRPr="00AE411D">
              <w:rPr>
                <w:lang w:bidi="ar-SA"/>
              </w:rPr>
              <w:t>1.1</w:t>
            </w:r>
          </w:p>
        </w:tc>
        <w:tc>
          <w:tcPr>
            <w:tcW w:w="1110" w:type="pct"/>
            <w:tcBorders>
              <w:top w:val="nil"/>
              <w:left w:val="nil"/>
              <w:bottom w:val="single" w:sz="4" w:space="0" w:color="auto"/>
              <w:right w:val="single" w:sz="4" w:space="0" w:color="auto"/>
            </w:tcBorders>
            <w:shd w:val="clear" w:color="auto" w:fill="EAF1DD" w:themeFill="accent3" w:themeFillTint="33"/>
            <w:noWrap/>
            <w:vAlign w:val="bottom"/>
            <w:hideMark/>
          </w:tcPr>
          <w:p w14:paraId="2094E427" w14:textId="77777777" w:rsidR="00F73311" w:rsidRPr="00AE411D" w:rsidRDefault="00F73311" w:rsidP="005D5D89">
            <w:pPr>
              <w:jc w:val="center"/>
              <w:rPr>
                <w:lang w:bidi="ar-SA"/>
              </w:rPr>
            </w:pPr>
            <w:r w:rsidRPr="00AE411D">
              <w:rPr>
                <w:lang w:bidi="ar-SA"/>
              </w:rPr>
              <w:t>0.097</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0B017620" w14:textId="77777777" w:rsidR="00F73311" w:rsidRPr="00AE411D" w:rsidRDefault="00F73311" w:rsidP="005D5D89">
            <w:pPr>
              <w:jc w:val="center"/>
              <w:rPr>
                <w:lang w:bidi="ar-SA"/>
              </w:rPr>
            </w:pPr>
            <w:r w:rsidRPr="00AE411D">
              <w:rPr>
                <w:lang w:bidi="ar-SA"/>
              </w:rPr>
              <w:t>0.229</w:t>
            </w:r>
          </w:p>
        </w:tc>
        <w:tc>
          <w:tcPr>
            <w:tcW w:w="696" w:type="pct"/>
            <w:tcBorders>
              <w:top w:val="nil"/>
              <w:left w:val="nil"/>
              <w:bottom w:val="single" w:sz="4" w:space="0" w:color="auto"/>
              <w:right w:val="single" w:sz="4" w:space="0" w:color="auto"/>
            </w:tcBorders>
            <w:shd w:val="clear" w:color="auto" w:fill="EAF1DD" w:themeFill="accent3" w:themeFillTint="33"/>
            <w:noWrap/>
            <w:vAlign w:val="bottom"/>
            <w:hideMark/>
          </w:tcPr>
          <w:p w14:paraId="521D67D1" w14:textId="77777777" w:rsidR="00F73311" w:rsidRPr="00AE411D" w:rsidRDefault="00F73311" w:rsidP="005D5D89">
            <w:pPr>
              <w:jc w:val="center"/>
              <w:rPr>
                <w:lang w:bidi="ar-SA"/>
              </w:rPr>
            </w:pPr>
            <w:r w:rsidRPr="00AE411D">
              <w:rPr>
                <w:lang w:bidi="ar-SA"/>
              </w:rPr>
              <w:t>0.326</w:t>
            </w:r>
          </w:p>
        </w:tc>
        <w:tc>
          <w:tcPr>
            <w:tcW w:w="447" w:type="pct"/>
            <w:tcBorders>
              <w:top w:val="nil"/>
              <w:left w:val="nil"/>
              <w:bottom w:val="single" w:sz="4" w:space="0" w:color="auto"/>
              <w:right w:val="single" w:sz="4" w:space="0" w:color="auto"/>
            </w:tcBorders>
            <w:shd w:val="clear" w:color="auto" w:fill="EAF1DD" w:themeFill="accent3" w:themeFillTint="33"/>
            <w:noWrap/>
            <w:vAlign w:val="center"/>
            <w:hideMark/>
          </w:tcPr>
          <w:p w14:paraId="4D248DA0" w14:textId="77777777" w:rsidR="00F73311" w:rsidRPr="00AE411D" w:rsidRDefault="00F73311" w:rsidP="00F73311">
            <w:pPr>
              <w:tabs>
                <w:tab w:val="decimal" w:pos="567"/>
              </w:tabs>
              <w:rPr>
                <w:lang w:bidi="ar-SA"/>
              </w:rPr>
            </w:pPr>
            <w:r w:rsidRPr="00AE411D">
              <w:rPr>
                <w:lang w:bidi="ar-SA"/>
              </w:rPr>
              <w:t>11</w:t>
            </w:r>
          </w:p>
        </w:tc>
      </w:tr>
      <w:tr w:rsidR="00F73311" w:rsidRPr="007F0A79" w14:paraId="2D2CE075" w14:textId="77777777" w:rsidTr="005D5D89">
        <w:trPr>
          <w:trHeight w:val="290"/>
        </w:trPr>
        <w:tc>
          <w:tcPr>
            <w:tcW w:w="485"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D8B2A1B" w14:textId="77777777" w:rsidR="00F73311" w:rsidRPr="00AE411D" w:rsidRDefault="00F73311" w:rsidP="005D5D89">
            <w:pPr>
              <w:jc w:val="center"/>
              <w:rPr>
                <w:lang w:bidi="ar-SA"/>
              </w:rPr>
            </w:pPr>
          </w:p>
        </w:tc>
        <w:tc>
          <w:tcPr>
            <w:tcW w:w="485" w:type="pct"/>
            <w:tcBorders>
              <w:top w:val="nil"/>
              <w:left w:val="nil"/>
              <w:bottom w:val="single" w:sz="4" w:space="0" w:color="auto"/>
              <w:right w:val="single" w:sz="4" w:space="0" w:color="auto"/>
            </w:tcBorders>
            <w:shd w:val="clear" w:color="auto" w:fill="EAF1DD" w:themeFill="accent3" w:themeFillTint="33"/>
            <w:noWrap/>
            <w:vAlign w:val="bottom"/>
            <w:hideMark/>
          </w:tcPr>
          <w:p w14:paraId="4EDB14B1" w14:textId="77777777" w:rsidR="00F73311" w:rsidRPr="00AE411D" w:rsidRDefault="00F73311" w:rsidP="005D5D89">
            <w:pPr>
              <w:jc w:val="center"/>
              <w:rPr>
                <w:lang w:bidi="ar-SA"/>
              </w:rPr>
            </w:pPr>
            <w:r w:rsidRPr="00AE411D">
              <w:rPr>
                <w:lang w:bidi="ar-SA"/>
              </w:rPr>
              <w:t>Male</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45B59DB2" w14:textId="77777777" w:rsidR="00F73311" w:rsidRPr="00AE411D" w:rsidRDefault="00F73311" w:rsidP="005D5D89">
            <w:pPr>
              <w:jc w:val="center"/>
              <w:rPr>
                <w:lang w:bidi="ar-SA"/>
              </w:rPr>
            </w:pPr>
            <w:r w:rsidRPr="00AE411D">
              <w:rPr>
                <w:lang w:bidi="ar-SA"/>
              </w:rPr>
              <w:t>1.4</w:t>
            </w:r>
          </w:p>
        </w:tc>
        <w:tc>
          <w:tcPr>
            <w:tcW w:w="1110" w:type="pct"/>
            <w:tcBorders>
              <w:top w:val="nil"/>
              <w:left w:val="nil"/>
              <w:bottom w:val="single" w:sz="4" w:space="0" w:color="auto"/>
              <w:right w:val="single" w:sz="4" w:space="0" w:color="auto"/>
            </w:tcBorders>
            <w:shd w:val="clear" w:color="auto" w:fill="EAF1DD" w:themeFill="accent3" w:themeFillTint="33"/>
            <w:noWrap/>
            <w:vAlign w:val="bottom"/>
            <w:hideMark/>
          </w:tcPr>
          <w:p w14:paraId="636F95DF" w14:textId="77777777" w:rsidR="00F73311" w:rsidRPr="00AE411D" w:rsidRDefault="00F73311" w:rsidP="005D5D89">
            <w:pPr>
              <w:jc w:val="center"/>
              <w:rPr>
                <w:lang w:bidi="ar-SA"/>
              </w:rPr>
            </w:pPr>
            <w:r w:rsidRPr="00AE411D">
              <w:rPr>
                <w:lang w:bidi="ar-SA"/>
              </w:rPr>
              <w:t>0.122</w:t>
            </w:r>
          </w:p>
        </w:tc>
        <w:tc>
          <w:tcPr>
            <w:tcW w:w="889" w:type="pct"/>
            <w:tcBorders>
              <w:top w:val="nil"/>
              <w:left w:val="nil"/>
              <w:bottom w:val="single" w:sz="4" w:space="0" w:color="auto"/>
              <w:right w:val="single" w:sz="4" w:space="0" w:color="auto"/>
            </w:tcBorders>
            <w:shd w:val="clear" w:color="auto" w:fill="EAF1DD" w:themeFill="accent3" w:themeFillTint="33"/>
            <w:noWrap/>
            <w:vAlign w:val="bottom"/>
            <w:hideMark/>
          </w:tcPr>
          <w:p w14:paraId="4AD56E8B" w14:textId="77777777" w:rsidR="00F73311" w:rsidRPr="00AE411D" w:rsidRDefault="00F73311" w:rsidP="005D5D89">
            <w:pPr>
              <w:jc w:val="center"/>
              <w:rPr>
                <w:lang w:bidi="ar-SA"/>
              </w:rPr>
            </w:pPr>
            <w:r w:rsidRPr="00AE411D">
              <w:rPr>
                <w:lang w:bidi="ar-SA"/>
              </w:rPr>
              <w:t>0.229</w:t>
            </w:r>
          </w:p>
        </w:tc>
        <w:tc>
          <w:tcPr>
            <w:tcW w:w="696" w:type="pct"/>
            <w:tcBorders>
              <w:top w:val="nil"/>
              <w:left w:val="nil"/>
              <w:bottom w:val="single" w:sz="4" w:space="0" w:color="auto"/>
              <w:right w:val="single" w:sz="4" w:space="0" w:color="auto"/>
            </w:tcBorders>
            <w:shd w:val="clear" w:color="auto" w:fill="EAF1DD" w:themeFill="accent3" w:themeFillTint="33"/>
            <w:noWrap/>
            <w:vAlign w:val="bottom"/>
            <w:hideMark/>
          </w:tcPr>
          <w:p w14:paraId="78FE9EDD" w14:textId="77777777" w:rsidR="00F73311" w:rsidRPr="00AE411D" w:rsidRDefault="00F73311" w:rsidP="005D5D89">
            <w:pPr>
              <w:jc w:val="center"/>
              <w:rPr>
                <w:lang w:bidi="ar-SA"/>
              </w:rPr>
            </w:pPr>
            <w:r w:rsidRPr="00AE411D">
              <w:rPr>
                <w:lang w:bidi="ar-SA"/>
              </w:rPr>
              <w:t>0.351</w:t>
            </w:r>
          </w:p>
        </w:tc>
        <w:tc>
          <w:tcPr>
            <w:tcW w:w="447" w:type="pct"/>
            <w:tcBorders>
              <w:top w:val="nil"/>
              <w:left w:val="nil"/>
              <w:bottom w:val="single" w:sz="4" w:space="0" w:color="auto"/>
              <w:right w:val="single" w:sz="4" w:space="0" w:color="auto"/>
            </w:tcBorders>
            <w:shd w:val="clear" w:color="auto" w:fill="EAF1DD" w:themeFill="accent3" w:themeFillTint="33"/>
            <w:noWrap/>
            <w:vAlign w:val="center"/>
            <w:hideMark/>
          </w:tcPr>
          <w:p w14:paraId="5B21725A" w14:textId="77777777" w:rsidR="00F73311" w:rsidRPr="00AE411D" w:rsidRDefault="00F73311" w:rsidP="00F73311">
            <w:pPr>
              <w:tabs>
                <w:tab w:val="decimal" w:pos="567"/>
              </w:tabs>
              <w:rPr>
                <w:lang w:bidi="ar-SA"/>
              </w:rPr>
            </w:pPr>
            <w:r w:rsidRPr="00AE411D">
              <w:rPr>
                <w:lang w:bidi="ar-SA"/>
              </w:rPr>
              <w:t>12</w:t>
            </w:r>
          </w:p>
        </w:tc>
      </w:tr>
    </w:tbl>
    <w:p w14:paraId="2DABA25A" w14:textId="29F0D2D7" w:rsidR="00F73311" w:rsidRPr="00BA290C" w:rsidRDefault="00F73311" w:rsidP="00F73311">
      <w:pPr>
        <w:spacing w:before="120" w:after="120"/>
        <w:rPr>
          <w:sz w:val="18"/>
          <w:lang w:bidi="ar-SA"/>
        </w:rPr>
      </w:pPr>
      <w:r w:rsidRPr="00E9375F">
        <w:rPr>
          <w:sz w:val="18"/>
          <w:vertAlign w:val="superscript"/>
          <w:lang w:bidi="ar-SA"/>
        </w:rPr>
        <w:t>1</w:t>
      </w:r>
      <w:r w:rsidR="00511F2C" w:rsidRPr="00BA290C">
        <w:rPr>
          <w:sz w:val="18"/>
          <w:lang w:bidi="ar-SA"/>
        </w:rPr>
        <w:t xml:space="preserve">two-day average weighted mean consumption, rounded to 1 decimal place, consumers only </w:t>
      </w:r>
    </w:p>
    <w:p w14:paraId="2C8012DD" w14:textId="1164E13D" w:rsidR="00F73311" w:rsidRPr="00E9375F" w:rsidRDefault="00F73311" w:rsidP="00F73311">
      <w:pPr>
        <w:spacing w:before="120" w:after="120"/>
        <w:rPr>
          <w:sz w:val="18"/>
          <w:lang w:bidi="ar-SA"/>
        </w:rPr>
      </w:pPr>
      <w:r w:rsidRPr="00BF5218">
        <w:rPr>
          <w:sz w:val="18"/>
          <w:vertAlign w:val="superscript"/>
          <w:lang w:bidi="ar-SA"/>
        </w:rPr>
        <w:t>2</w:t>
      </w:r>
      <w:r w:rsidR="00511F2C" w:rsidRPr="00BF5218">
        <w:rPr>
          <w:sz w:val="18"/>
          <w:lang w:bidi="ar-SA"/>
        </w:rPr>
        <w:t xml:space="preserve"> mean usual intakes for Australia (ABS 2015</w:t>
      </w:r>
      <w:r w:rsidR="00BF5218">
        <w:rPr>
          <w:sz w:val="18"/>
          <w:lang w:bidi="ar-SA"/>
        </w:rPr>
        <w:t>a</w:t>
      </w:r>
      <w:r w:rsidR="00511F2C" w:rsidRPr="00BF5218">
        <w:rPr>
          <w:sz w:val="18"/>
          <w:lang w:bidi="ar-SA"/>
        </w:rPr>
        <w:t>), best match age group used</w:t>
      </w:r>
      <w:r w:rsidR="00BF5218">
        <w:rPr>
          <w:sz w:val="18"/>
          <w:lang w:bidi="ar-SA"/>
        </w:rPr>
        <w:t xml:space="preserve"> (Table 5)</w:t>
      </w:r>
    </w:p>
    <w:p w14:paraId="4990E8A0" w14:textId="18DC4DFE" w:rsidR="003266D8" w:rsidRPr="003266D8" w:rsidRDefault="005D5D89" w:rsidP="00645494">
      <w:pPr>
        <w:pStyle w:val="FSTableTitle"/>
        <w:spacing w:after="240"/>
      </w:pPr>
      <w:bookmarkStart w:id="121" w:name="_Ref490639923"/>
      <w:r>
        <w:lastRenderedPageBreak/>
        <w:t>Table B</w:t>
      </w:r>
      <w:r w:rsidR="004B0630">
        <w:t>:</w:t>
      </w:r>
      <w:r>
        <w:t xml:space="preserve"> </w:t>
      </w:r>
      <w:r w:rsidR="00F73311" w:rsidRPr="00C56A11">
        <w:t xml:space="preserve">Estimated dietary intakes of n-3 LC-PUFA for New Zealand population groups assuming that all conventional canola in the food supply will be replaced by </w:t>
      </w:r>
      <w:r w:rsidR="00F73311">
        <w:t>LFBLFK</w:t>
      </w:r>
      <w:r w:rsidR="00F73311" w:rsidRPr="00C56A11">
        <w:t xml:space="preserve"> canola oil (Scenario 1)</w:t>
      </w:r>
      <w:bookmarkEnd w:id="120"/>
      <w:bookmarkEnd w:id="121"/>
    </w:p>
    <w:tbl>
      <w:tblPr>
        <w:tblStyle w:val="ListTable3-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Estimated dietary intakes of n-3 LC-PUFA for New Zealand population groups assuming that all conventional canola in the food supply will be replaced by DHA canola oil (Scenario 1)"/>
        <w:tblDescription w:val="Table 3 Estimated dietary intakes of n-3 LC-PUFA for New Zealand population groups assuming that all conventional canola in the food supply will be replaced by DHA canola oil (Scenario 1)"/>
      </w:tblPr>
      <w:tblGrid>
        <w:gridCol w:w="1553"/>
        <w:gridCol w:w="1536"/>
        <w:gridCol w:w="2426"/>
        <w:gridCol w:w="2815"/>
        <w:gridCol w:w="2200"/>
        <w:gridCol w:w="1909"/>
        <w:gridCol w:w="1553"/>
      </w:tblGrid>
      <w:tr w:rsidR="003266D8" w:rsidRPr="008B49E2" w14:paraId="78C18E89" w14:textId="77777777" w:rsidTr="00D26E0D">
        <w:trPr>
          <w:cnfStyle w:val="100000000000" w:firstRow="1" w:lastRow="0" w:firstColumn="0" w:lastColumn="0" w:oddVBand="0" w:evenVBand="0" w:oddHBand="0" w:evenHBand="0" w:firstRowFirstColumn="0" w:firstRowLastColumn="0" w:lastRowFirstColumn="0" w:lastRowLastColumn="0"/>
          <w:trHeight w:val="1200"/>
          <w:tblHeader/>
        </w:trPr>
        <w:tc>
          <w:tcPr>
            <w:cnfStyle w:val="001000000100" w:firstRow="0" w:lastRow="0" w:firstColumn="1" w:lastColumn="0" w:oddVBand="0" w:evenVBand="0" w:oddHBand="0" w:evenHBand="0" w:firstRowFirstColumn="1" w:firstRowLastColumn="0" w:lastRowFirstColumn="0" w:lastRowLastColumn="0"/>
            <w:tcW w:w="555" w:type="pct"/>
            <w:noWrap/>
            <w:hideMark/>
          </w:tcPr>
          <w:p w14:paraId="12830FAC" w14:textId="77777777" w:rsidR="00511F2C" w:rsidRDefault="00F73311" w:rsidP="008B49E2">
            <w:pPr>
              <w:jc w:val="center"/>
              <w:rPr>
                <w:color w:val="auto"/>
                <w:lang w:bidi="ar-SA"/>
              </w:rPr>
            </w:pPr>
            <w:r w:rsidRPr="008B49E2">
              <w:rPr>
                <w:color w:val="auto"/>
                <w:lang w:bidi="ar-SA"/>
              </w:rPr>
              <w:t>Age</w:t>
            </w:r>
            <w:r w:rsidR="00511F2C">
              <w:rPr>
                <w:color w:val="auto"/>
                <w:lang w:bidi="ar-SA"/>
              </w:rPr>
              <w:t xml:space="preserve"> group</w:t>
            </w:r>
          </w:p>
          <w:p w14:paraId="2D7825FB" w14:textId="65884773" w:rsidR="00F73311" w:rsidRPr="008B49E2" w:rsidRDefault="00511F2C" w:rsidP="008B49E2">
            <w:pPr>
              <w:jc w:val="center"/>
              <w:rPr>
                <w:color w:val="auto"/>
                <w:lang w:bidi="ar-SA"/>
              </w:rPr>
            </w:pPr>
            <w:r>
              <w:rPr>
                <w:color w:val="auto"/>
                <w:lang w:bidi="ar-SA"/>
              </w:rPr>
              <w:t>(years)</w:t>
            </w:r>
          </w:p>
        </w:tc>
        <w:tc>
          <w:tcPr>
            <w:tcW w:w="549" w:type="pct"/>
            <w:noWrap/>
            <w:hideMark/>
          </w:tcPr>
          <w:p w14:paraId="7555E76C" w14:textId="77777777" w:rsidR="00F73311" w:rsidRPr="008B49E2" w:rsidRDefault="00F73311" w:rsidP="008B49E2">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Sex</w:t>
            </w:r>
          </w:p>
        </w:tc>
        <w:tc>
          <w:tcPr>
            <w:tcW w:w="867" w:type="pct"/>
            <w:hideMark/>
          </w:tcPr>
          <w:p w14:paraId="7B9C00E2" w14:textId="0F30790B" w:rsidR="00F73311" w:rsidRPr="008B49E2" w:rsidRDefault="00F73311" w:rsidP="008B49E2">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 xml:space="preserve">Mean canola oil consumption </w:t>
            </w:r>
            <w:r w:rsidR="00D95CC4">
              <w:rPr>
                <w:color w:val="auto"/>
                <w:lang w:bidi="ar-SA"/>
              </w:rPr>
              <w:t>(</w:t>
            </w:r>
            <w:r w:rsidRPr="008B49E2">
              <w:rPr>
                <w:color w:val="auto"/>
                <w:lang w:bidi="ar-SA"/>
              </w:rPr>
              <w:t>g/day</w:t>
            </w:r>
            <w:r w:rsidR="00D95CC4">
              <w:rPr>
                <w:color w:val="auto"/>
                <w:lang w:bidi="ar-SA"/>
              </w:rPr>
              <w:t>)</w:t>
            </w:r>
            <w:r w:rsidRPr="008B49E2">
              <w:rPr>
                <w:color w:val="auto"/>
                <w:vertAlign w:val="superscript"/>
                <w:lang w:bidi="ar-SA"/>
              </w:rPr>
              <w:t>1</w:t>
            </w:r>
          </w:p>
        </w:tc>
        <w:tc>
          <w:tcPr>
            <w:tcW w:w="1006" w:type="pct"/>
            <w:hideMark/>
          </w:tcPr>
          <w:p w14:paraId="2ADAD89C" w14:textId="288F5917" w:rsidR="00F73311" w:rsidRPr="008B49E2" w:rsidRDefault="00F73311" w:rsidP="008B49E2">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Additional intake n</w:t>
            </w:r>
            <w:r w:rsidRPr="008B49E2">
              <w:rPr>
                <w:color w:val="auto"/>
                <w:lang w:bidi="ar-SA"/>
              </w:rPr>
              <w:noBreakHyphen/>
              <w:t xml:space="preserve">3 LC PUFA from </w:t>
            </w:r>
            <w:r w:rsidR="002F36D0">
              <w:rPr>
                <w:color w:val="auto"/>
                <w:lang w:bidi="ar-SA"/>
              </w:rPr>
              <w:t>LBFLFK</w:t>
            </w:r>
            <w:r w:rsidRPr="008B49E2">
              <w:rPr>
                <w:color w:val="auto"/>
                <w:lang w:bidi="ar-SA"/>
              </w:rPr>
              <w:t xml:space="preserve"> </w:t>
            </w:r>
            <w:r w:rsidR="00D95CC4">
              <w:rPr>
                <w:color w:val="auto"/>
                <w:lang w:bidi="ar-SA"/>
              </w:rPr>
              <w:t>(</w:t>
            </w:r>
            <w:r w:rsidRPr="008B49E2">
              <w:rPr>
                <w:color w:val="auto"/>
                <w:lang w:bidi="ar-SA"/>
              </w:rPr>
              <w:t>g/day</w:t>
            </w:r>
            <w:r w:rsidR="00D95CC4">
              <w:rPr>
                <w:color w:val="auto"/>
                <w:lang w:bidi="ar-SA"/>
              </w:rPr>
              <w:t>)</w:t>
            </w:r>
          </w:p>
        </w:tc>
        <w:tc>
          <w:tcPr>
            <w:tcW w:w="786" w:type="pct"/>
            <w:hideMark/>
          </w:tcPr>
          <w:p w14:paraId="28B4B1EA" w14:textId="73D865AC" w:rsidR="00F73311" w:rsidRPr="008B49E2" w:rsidRDefault="00F73311" w:rsidP="008B49E2">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Baseline mean intake n</w:t>
            </w:r>
            <w:r w:rsidRPr="008B49E2">
              <w:rPr>
                <w:color w:val="auto"/>
                <w:lang w:bidi="ar-SA"/>
              </w:rPr>
              <w:noBreakHyphen/>
              <w:t xml:space="preserve">3 LC PUFA </w:t>
            </w:r>
            <w:r w:rsidR="00BA0F72">
              <w:rPr>
                <w:color w:val="auto"/>
                <w:lang w:bidi="ar-SA"/>
              </w:rPr>
              <w:t>(</w:t>
            </w:r>
            <w:r w:rsidRPr="008B49E2">
              <w:rPr>
                <w:color w:val="auto"/>
                <w:lang w:bidi="ar-SA"/>
              </w:rPr>
              <w:t>g/day</w:t>
            </w:r>
            <w:r w:rsidR="00BA0F72">
              <w:rPr>
                <w:color w:val="auto"/>
                <w:lang w:bidi="ar-SA"/>
              </w:rPr>
              <w:t>)</w:t>
            </w:r>
            <w:r w:rsidRPr="008B49E2">
              <w:rPr>
                <w:color w:val="auto"/>
                <w:vertAlign w:val="superscript"/>
                <w:lang w:bidi="ar-SA"/>
              </w:rPr>
              <w:t>2</w:t>
            </w:r>
          </w:p>
        </w:tc>
        <w:tc>
          <w:tcPr>
            <w:tcW w:w="682" w:type="pct"/>
            <w:hideMark/>
          </w:tcPr>
          <w:p w14:paraId="371A1E4C" w14:textId="5E48B42C" w:rsidR="00F73311" w:rsidRPr="008B49E2" w:rsidRDefault="00511F2C" w:rsidP="008B49E2">
            <w:pPr>
              <w:jc w:val="center"/>
              <w:cnfStyle w:val="100000000000" w:firstRow="1" w:lastRow="0" w:firstColumn="0" w:lastColumn="0" w:oddVBand="0" w:evenVBand="0" w:oddHBand="0" w:evenHBand="0" w:firstRowFirstColumn="0" w:firstRowLastColumn="0" w:lastRowFirstColumn="0" w:lastRowLastColumn="0"/>
              <w:rPr>
                <w:color w:val="auto"/>
                <w:lang w:bidi="ar-SA"/>
              </w:rPr>
            </w:pPr>
            <w:r>
              <w:rPr>
                <w:color w:val="auto"/>
                <w:lang w:bidi="ar-SA"/>
              </w:rPr>
              <w:t>Predicted potential</w:t>
            </w:r>
            <w:r w:rsidRPr="008B49E2">
              <w:rPr>
                <w:color w:val="auto"/>
                <w:lang w:bidi="ar-SA"/>
              </w:rPr>
              <w:t xml:space="preserve"> </w:t>
            </w:r>
            <w:r w:rsidR="00F73311" w:rsidRPr="008B49E2">
              <w:rPr>
                <w:color w:val="auto"/>
                <w:lang w:bidi="ar-SA"/>
              </w:rPr>
              <w:t xml:space="preserve">n-3 LC-PUFA intake </w:t>
            </w:r>
            <w:r w:rsidR="00BA0F72">
              <w:rPr>
                <w:color w:val="auto"/>
                <w:lang w:bidi="ar-SA"/>
              </w:rPr>
              <w:t>(</w:t>
            </w:r>
            <w:r w:rsidR="00F73311" w:rsidRPr="008B49E2">
              <w:rPr>
                <w:color w:val="auto"/>
                <w:lang w:bidi="ar-SA"/>
              </w:rPr>
              <w:t>g/day</w:t>
            </w:r>
            <w:r w:rsidR="00BA0F72">
              <w:rPr>
                <w:color w:val="auto"/>
                <w:lang w:bidi="ar-SA"/>
              </w:rPr>
              <w:t>)</w:t>
            </w:r>
          </w:p>
        </w:tc>
        <w:tc>
          <w:tcPr>
            <w:tcW w:w="555" w:type="pct"/>
            <w:hideMark/>
          </w:tcPr>
          <w:p w14:paraId="00091D9C" w14:textId="1DACE08F" w:rsidR="00F73311" w:rsidRPr="008B49E2" w:rsidRDefault="00F73311" w:rsidP="008B49E2">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 xml:space="preserve">% of </w:t>
            </w:r>
            <w:r w:rsidR="003266D8" w:rsidRPr="008B49E2">
              <w:rPr>
                <w:color w:val="auto"/>
                <w:lang w:bidi="ar-SA"/>
              </w:rPr>
              <w:t>UL</w:t>
            </w:r>
          </w:p>
        </w:tc>
      </w:tr>
      <w:tr w:rsidR="003266D8" w:rsidRPr="003266D8" w14:paraId="65AEFB03" w14:textId="77777777" w:rsidTr="003266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one" w:sz="0" w:space="0" w:color="auto"/>
              <w:bottom w:val="none" w:sz="0" w:space="0" w:color="auto"/>
              <w:right w:val="none" w:sz="0" w:space="0" w:color="auto"/>
            </w:tcBorders>
            <w:noWrap/>
            <w:hideMark/>
          </w:tcPr>
          <w:p w14:paraId="348605B3" w14:textId="77777777" w:rsidR="00F73311" w:rsidRPr="003266D8" w:rsidRDefault="00F73311" w:rsidP="003266D8">
            <w:pPr>
              <w:jc w:val="center"/>
              <w:rPr>
                <w:b w:val="0"/>
                <w:lang w:bidi="ar-SA"/>
              </w:rPr>
            </w:pPr>
            <w:r w:rsidRPr="003266D8">
              <w:rPr>
                <w:b w:val="0"/>
                <w:lang w:bidi="ar-SA"/>
              </w:rPr>
              <w:t>5-8</w:t>
            </w:r>
          </w:p>
        </w:tc>
        <w:tc>
          <w:tcPr>
            <w:tcW w:w="549" w:type="pct"/>
            <w:tcBorders>
              <w:top w:val="none" w:sz="0" w:space="0" w:color="auto"/>
              <w:bottom w:val="none" w:sz="0" w:space="0" w:color="auto"/>
            </w:tcBorders>
            <w:noWrap/>
            <w:hideMark/>
          </w:tcPr>
          <w:p w14:paraId="149562BF"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Female</w:t>
            </w:r>
          </w:p>
        </w:tc>
        <w:tc>
          <w:tcPr>
            <w:tcW w:w="867" w:type="pct"/>
            <w:tcBorders>
              <w:top w:val="none" w:sz="0" w:space="0" w:color="auto"/>
              <w:bottom w:val="none" w:sz="0" w:space="0" w:color="auto"/>
            </w:tcBorders>
            <w:noWrap/>
            <w:hideMark/>
          </w:tcPr>
          <w:p w14:paraId="41F9EE23"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1.9</w:t>
            </w:r>
          </w:p>
        </w:tc>
        <w:tc>
          <w:tcPr>
            <w:tcW w:w="1006" w:type="pct"/>
            <w:tcBorders>
              <w:top w:val="none" w:sz="0" w:space="0" w:color="auto"/>
              <w:bottom w:val="none" w:sz="0" w:space="0" w:color="auto"/>
            </w:tcBorders>
            <w:noWrap/>
            <w:hideMark/>
          </w:tcPr>
          <w:p w14:paraId="2C3189C3"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0.168</w:t>
            </w:r>
          </w:p>
        </w:tc>
        <w:tc>
          <w:tcPr>
            <w:tcW w:w="786" w:type="pct"/>
            <w:tcBorders>
              <w:top w:val="none" w:sz="0" w:space="0" w:color="auto"/>
              <w:bottom w:val="none" w:sz="0" w:space="0" w:color="auto"/>
            </w:tcBorders>
            <w:noWrap/>
            <w:hideMark/>
          </w:tcPr>
          <w:p w14:paraId="037EB78A"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0.098</w:t>
            </w:r>
          </w:p>
        </w:tc>
        <w:tc>
          <w:tcPr>
            <w:tcW w:w="682" w:type="pct"/>
            <w:tcBorders>
              <w:top w:val="none" w:sz="0" w:space="0" w:color="auto"/>
              <w:bottom w:val="none" w:sz="0" w:space="0" w:color="auto"/>
            </w:tcBorders>
            <w:noWrap/>
            <w:hideMark/>
          </w:tcPr>
          <w:p w14:paraId="2F53D75D"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0.266</w:t>
            </w:r>
          </w:p>
        </w:tc>
        <w:tc>
          <w:tcPr>
            <w:tcW w:w="555" w:type="pct"/>
            <w:tcBorders>
              <w:top w:val="none" w:sz="0" w:space="0" w:color="auto"/>
              <w:bottom w:val="none" w:sz="0" w:space="0" w:color="auto"/>
            </w:tcBorders>
            <w:noWrap/>
            <w:hideMark/>
          </w:tcPr>
          <w:p w14:paraId="3E79E766" w14:textId="77777777" w:rsidR="00F73311" w:rsidRPr="003266D8" w:rsidRDefault="00F73311" w:rsidP="003266D8">
            <w:pPr>
              <w:tabs>
                <w:tab w:val="decimal" w:pos="567"/>
              </w:tabs>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9</w:t>
            </w:r>
          </w:p>
        </w:tc>
      </w:tr>
      <w:tr w:rsidR="003266D8" w:rsidRPr="003266D8" w14:paraId="29068465" w14:textId="77777777" w:rsidTr="003266D8">
        <w:trPr>
          <w:trHeight w:val="290"/>
        </w:trPr>
        <w:tc>
          <w:tcPr>
            <w:cnfStyle w:val="001000000000" w:firstRow="0" w:lastRow="0" w:firstColumn="1" w:lastColumn="0" w:oddVBand="0" w:evenVBand="0" w:oddHBand="0" w:evenHBand="0" w:firstRowFirstColumn="0" w:firstRowLastColumn="0" w:lastRowFirstColumn="0" w:lastRowLastColumn="0"/>
            <w:tcW w:w="555" w:type="pct"/>
            <w:vMerge/>
            <w:hideMark/>
          </w:tcPr>
          <w:p w14:paraId="04E07C75" w14:textId="77777777" w:rsidR="00F73311" w:rsidRPr="003266D8" w:rsidRDefault="00F73311" w:rsidP="003266D8">
            <w:pPr>
              <w:jc w:val="center"/>
              <w:rPr>
                <w:b w:val="0"/>
                <w:lang w:bidi="ar-SA"/>
              </w:rPr>
            </w:pPr>
          </w:p>
        </w:tc>
        <w:tc>
          <w:tcPr>
            <w:tcW w:w="549" w:type="pct"/>
            <w:noWrap/>
            <w:hideMark/>
          </w:tcPr>
          <w:p w14:paraId="33134A3B"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Male</w:t>
            </w:r>
          </w:p>
        </w:tc>
        <w:tc>
          <w:tcPr>
            <w:tcW w:w="867" w:type="pct"/>
            <w:noWrap/>
            <w:hideMark/>
          </w:tcPr>
          <w:p w14:paraId="061375FB"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2.1</w:t>
            </w:r>
          </w:p>
        </w:tc>
        <w:tc>
          <w:tcPr>
            <w:tcW w:w="1006" w:type="pct"/>
            <w:noWrap/>
            <w:hideMark/>
          </w:tcPr>
          <w:p w14:paraId="33A1C8AB"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0.186</w:t>
            </w:r>
          </w:p>
        </w:tc>
        <w:tc>
          <w:tcPr>
            <w:tcW w:w="786" w:type="pct"/>
            <w:noWrap/>
            <w:hideMark/>
          </w:tcPr>
          <w:p w14:paraId="609C2195"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0.103</w:t>
            </w:r>
          </w:p>
        </w:tc>
        <w:tc>
          <w:tcPr>
            <w:tcW w:w="682" w:type="pct"/>
            <w:noWrap/>
            <w:hideMark/>
          </w:tcPr>
          <w:p w14:paraId="60C14CAF"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0.289</w:t>
            </w:r>
          </w:p>
        </w:tc>
        <w:tc>
          <w:tcPr>
            <w:tcW w:w="555" w:type="pct"/>
            <w:noWrap/>
            <w:hideMark/>
          </w:tcPr>
          <w:p w14:paraId="72A7C391" w14:textId="77777777" w:rsidR="00F73311" w:rsidRPr="003266D8" w:rsidRDefault="00F73311" w:rsidP="003266D8">
            <w:pPr>
              <w:tabs>
                <w:tab w:val="decimal" w:pos="567"/>
              </w:tabs>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10</w:t>
            </w:r>
          </w:p>
        </w:tc>
      </w:tr>
      <w:tr w:rsidR="003266D8" w:rsidRPr="003266D8" w14:paraId="7705FA0D" w14:textId="77777777" w:rsidTr="003266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one" w:sz="0" w:space="0" w:color="auto"/>
              <w:bottom w:val="none" w:sz="0" w:space="0" w:color="auto"/>
              <w:right w:val="none" w:sz="0" w:space="0" w:color="auto"/>
            </w:tcBorders>
            <w:shd w:val="clear" w:color="auto" w:fill="EAF1DD" w:themeFill="accent3" w:themeFillTint="33"/>
            <w:noWrap/>
            <w:hideMark/>
          </w:tcPr>
          <w:p w14:paraId="7A11CDC3" w14:textId="77777777" w:rsidR="00F73311" w:rsidRPr="003266D8" w:rsidRDefault="00F73311" w:rsidP="003266D8">
            <w:pPr>
              <w:jc w:val="center"/>
              <w:rPr>
                <w:b w:val="0"/>
                <w:lang w:bidi="ar-SA"/>
              </w:rPr>
            </w:pPr>
            <w:r w:rsidRPr="003266D8">
              <w:rPr>
                <w:b w:val="0"/>
                <w:lang w:bidi="ar-SA"/>
              </w:rPr>
              <w:t>9-13</w:t>
            </w:r>
          </w:p>
        </w:tc>
        <w:tc>
          <w:tcPr>
            <w:tcW w:w="549" w:type="pct"/>
            <w:tcBorders>
              <w:top w:val="none" w:sz="0" w:space="0" w:color="auto"/>
              <w:bottom w:val="none" w:sz="0" w:space="0" w:color="auto"/>
            </w:tcBorders>
            <w:shd w:val="clear" w:color="auto" w:fill="EAF1DD" w:themeFill="accent3" w:themeFillTint="33"/>
            <w:noWrap/>
            <w:hideMark/>
          </w:tcPr>
          <w:p w14:paraId="180F9F17"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Female</w:t>
            </w:r>
          </w:p>
        </w:tc>
        <w:tc>
          <w:tcPr>
            <w:tcW w:w="867" w:type="pct"/>
            <w:tcBorders>
              <w:top w:val="none" w:sz="0" w:space="0" w:color="auto"/>
              <w:bottom w:val="none" w:sz="0" w:space="0" w:color="auto"/>
            </w:tcBorders>
            <w:shd w:val="clear" w:color="auto" w:fill="EAF1DD" w:themeFill="accent3" w:themeFillTint="33"/>
            <w:noWrap/>
            <w:hideMark/>
          </w:tcPr>
          <w:p w14:paraId="2A56E28A"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2.4</w:t>
            </w:r>
          </w:p>
        </w:tc>
        <w:tc>
          <w:tcPr>
            <w:tcW w:w="1006" w:type="pct"/>
            <w:tcBorders>
              <w:top w:val="none" w:sz="0" w:space="0" w:color="auto"/>
              <w:bottom w:val="none" w:sz="0" w:space="0" w:color="auto"/>
            </w:tcBorders>
            <w:shd w:val="clear" w:color="auto" w:fill="EAF1DD" w:themeFill="accent3" w:themeFillTint="33"/>
            <w:noWrap/>
            <w:hideMark/>
          </w:tcPr>
          <w:p w14:paraId="623D8FEA"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0.207</w:t>
            </w:r>
          </w:p>
        </w:tc>
        <w:tc>
          <w:tcPr>
            <w:tcW w:w="786" w:type="pct"/>
            <w:tcBorders>
              <w:top w:val="none" w:sz="0" w:space="0" w:color="auto"/>
              <w:bottom w:val="none" w:sz="0" w:space="0" w:color="auto"/>
            </w:tcBorders>
            <w:shd w:val="clear" w:color="auto" w:fill="EAF1DD" w:themeFill="accent3" w:themeFillTint="33"/>
            <w:noWrap/>
            <w:hideMark/>
          </w:tcPr>
          <w:p w14:paraId="6EC6DE4B"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0.162</w:t>
            </w:r>
          </w:p>
        </w:tc>
        <w:tc>
          <w:tcPr>
            <w:tcW w:w="682" w:type="pct"/>
            <w:tcBorders>
              <w:top w:val="none" w:sz="0" w:space="0" w:color="auto"/>
              <w:bottom w:val="none" w:sz="0" w:space="0" w:color="auto"/>
            </w:tcBorders>
            <w:shd w:val="clear" w:color="auto" w:fill="EAF1DD" w:themeFill="accent3" w:themeFillTint="33"/>
            <w:noWrap/>
            <w:hideMark/>
          </w:tcPr>
          <w:p w14:paraId="5E4ADEBA"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0.369</w:t>
            </w:r>
          </w:p>
        </w:tc>
        <w:tc>
          <w:tcPr>
            <w:tcW w:w="555" w:type="pct"/>
            <w:tcBorders>
              <w:top w:val="none" w:sz="0" w:space="0" w:color="auto"/>
              <w:bottom w:val="none" w:sz="0" w:space="0" w:color="auto"/>
            </w:tcBorders>
            <w:shd w:val="clear" w:color="auto" w:fill="EAF1DD" w:themeFill="accent3" w:themeFillTint="33"/>
            <w:noWrap/>
            <w:hideMark/>
          </w:tcPr>
          <w:p w14:paraId="794F6C98" w14:textId="77777777" w:rsidR="00F73311" w:rsidRPr="003266D8" w:rsidRDefault="00F73311" w:rsidP="003266D8">
            <w:pPr>
              <w:tabs>
                <w:tab w:val="decimal" w:pos="567"/>
              </w:tabs>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12</w:t>
            </w:r>
          </w:p>
        </w:tc>
      </w:tr>
      <w:tr w:rsidR="003266D8" w:rsidRPr="003266D8" w14:paraId="4F6640D2" w14:textId="77777777" w:rsidTr="003266D8">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right w:val="none" w:sz="0" w:space="0" w:color="auto"/>
            </w:tcBorders>
            <w:shd w:val="clear" w:color="auto" w:fill="EAF1DD" w:themeFill="accent3" w:themeFillTint="33"/>
            <w:hideMark/>
          </w:tcPr>
          <w:p w14:paraId="3B56C839" w14:textId="77777777" w:rsidR="00F73311" w:rsidRPr="003266D8" w:rsidRDefault="00F73311" w:rsidP="003266D8">
            <w:pPr>
              <w:jc w:val="center"/>
              <w:rPr>
                <w:b w:val="0"/>
                <w:lang w:bidi="ar-SA"/>
              </w:rPr>
            </w:pPr>
          </w:p>
        </w:tc>
        <w:tc>
          <w:tcPr>
            <w:tcW w:w="549" w:type="pct"/>
            <w:shd w:val="clear" w:color="auto" w:fill="EAF1DD" w:themeFill="accent3" w:themeFillTint="33"/>
            <w:noWrap/>
            <w:hideMark/>
          </w:tcPr>
          <w:p w14:paraId="0B4C0428"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Male</w:t>
            </w:r>
          </w:p>
        </w:tc>
        <w:tc>
          <w:tcPr>
            <w:tcW w:w="867" w:type="pct"/>
            <w:shd w:val="clear" w:color="auto" w:fill="EAF1DD" w:themeFill="accent3" w:themeFillTint="33"/>
            <w:noWrap/>
            <w:hideMark/>
          </w:tcPr>
          <w:p w14:paraId="7E483703"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2.7</w:t>
            </w:r>
          </w:p>
        </w:tc>
        <w:tc>
          <w:tcPr>
            <w:tcW w:w="1006" w:type="pct"/>
            <w:shd w:val="clear" w:color="auto" w:fill="EAF1DD" w:themeFill="accent3" w:themeFillTint="33"/>
            <w:noWrap/>
            <w:hideMark/>
          </w:tcPr>
          <w:p w14:paraId="33736F0B"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0.235</w:t>
            </w:r>
          </w:p>
        </w:tc>
        <w:tc>
          <w:tcPr>
            <w:tcW w:w="786" w:type="pct"/>
            <w:shd w:val="clear" w:color="auto" w:fill="EAF1DD" w:themeFill="accent3" w:themeFillTint="33"/>
            <w:noWrap/>
            <w:hideMark/>
          </w:tcPr>
          <w:p w14:paraId="6E77C3B2"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0.176</w:t>
            </w:r>
          </w:p>
        </w:tc>
        <w:tc>
          <w:tcPr>
            <w:tcW w:w="682" w:type="pct"/>
            <w:shd w:val="clear" w:color="auto" w:fill="EAF1DD" w:themeFill="accent3" w:themeFillTint="33"/>
            <w:noWrap/>
            <w:hideMark/>
          </w:tcPr>
          <w:p w14:paraId="039B878B"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0.411</w:t>
            </w:r>
          </w:p>
        </w:tc>
        <w:tc>
          <w:tcPr>
            <w:tcW w:w="555" w:type="pct"/>
            <w:shd w:val="clear" w:color="auto" w:fill="EAF1DD" w:themeFill="accent3" w:themeFillTint="33"/>
            <w:noWrap/>
            <w:hideMark/>
          </w:tcPr>
          <w:p w14:paraId="00AB86FD" w14:textId="77777777" w:rsidR="00F73311" w:rsidRPr="003266D8" w:rsidRDefault="00F73311" w:rsidP="003266D8">
            <w:pPr>
              <w:tabs>
                <w:tab w:val="decimal" w:pos="567"/>
              </w:tabs>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14</w:t>
            </w:r>
          </w:p>
        </w:tc>
      </w:tr>
      <w:tr w:rsidR="003266D8" w:rsidRPr="003266D8" w14:paraId="03A5DBB3" w14:textId="77777777" w:rsidTr="003266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one" w:sz="0" w:space="0" w:color="auto"/>
              <w:bottom w:val="none" w:sz="0" w:space="0" w:color="auto"/>
              <w:right w:val="none" w:sz="0" w:space="0" w:color="auto"/>
            </w:tcBorders>
            <w:noWrap/>
            <w:hideMark/>
          </w:tcPr>
          <w:p w14:paraId="20D198E0" w14:textId="77777777" w:rsidR="00F73311" w:rsidRPr="003266D8" w:rsidRDefault="00F73311" w:rsidP="003266D8">
            <w:pPr>
              <w:jc w:val="center"/>
              <w:rPr>
                <w:b w:val="0"/>
                <w:lang w:bidi="ar-SA"/>
              </w:rPr>
            </w:pPr>
            <w:r w:rsidRPr="003266D8">
              <w:rPr>
                <w:b w:val="0"/>
                <w:lang w:bidi="ar-SA"/>
              </w:rPr>
              <w:t>14</w:t>
            </w:r>
          </w:p>
        </w:tc>
        <w:tc>
          <w:tcPr>
            <w:tcW w:w="549" w:type="pct"/>
            <w:tcBorders>
              <w:top w:val="none" w:sz="0" w:space="0" w:color="auto"/>
              <w:bottom w:val="none" w:sz="0" w:space="0" w:color="auto"/>
            </w:tcBorders>
            <w:noWrap/>
            <w:hideMark/>
          </w:tcPr>
          <w:p w14:paraId="23E28D7D"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Female</w:t>
            </w:r>
          </w:p>
        </w:tc>
        <w:tc>
          <w:tcPr>
            <w:tcW w:w="867" w:type="pct"/>
            <w:tcBorders>
              <w:top w:val="none" w:sz="0" w:space="0" w:color="auto"/>
              <w:bottom w:val="none" w:sz="0" w:space="0" w:color="auto"/>
            </w:tcBorders>
            <w:noWrap/>
            <w:hideMark/>
          </w:tcPr>
          <w:p w14:paraId="455AAC28"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1.5</w:t>
            </w:r>
          </w:p>
        </w:tc>
        <w:tc>
          <w:tcPr>
            <w:tcW w:w="1006" w:type="pct"/>
            <w:tcBorders>
              <w:top w:val="none" w:sz="0" w:space="0" w:color="auto"/>
              <w:bottom w:val="none" w:sz="0" w:space="0" w:color="auto"/>
            </w:tcBorders>
            <w:noWrap/>
            <w:hideMark/>
          </w:tcPr>
          <w:p w14:paraId="428B59C4"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0.130</w:t>
            </w:r>
          </w:p>
        </w:tc>
        <w:tc>
          <w:tcPr>
            <w:tcW w:w="786" w:type="pct"/>
            <w:tcBorders>
              <w:top w:val="none" w:sz="0" w:space="0" w:color="auto"/>
              <w:bottom w:val="none" w:sz="0" w:space="0" w:color="auto"/>
            </w:tcBorders>
            <w:noWrap/>
            <w:hideMark/>
          </w:tcPr>
          <w:p w14:paraId="76FF88DE"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0.179</w:t>
            </w:r>
          </w:p>
        </w:tc>
        <w:tc>
          <w:tcPr>
            <w:tcW w:w="682" w:type="pct"/>
            <w:tcBorders>
              <w:top w:val="none" w:sz="0" w:space="0" w:color="auto"/>
              <w:bottom w:val="none" w:sz="0" w:space="0" w:color="auto"/>
            </w:tcBorders>
            <w:noWrap/>
            <w:hideMark/>
          </w:tcPr>
          <w:p w14:paraId="4432B697"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0.309</w:t>
            </w:r>
          </w:p>
        </w:tc>
        <w:tc>
          <w:tcPr>
            <w:tcW w:w="555" w:type="pct"/>
            <w:tcBorders>
              <w:top w:val="none" w:sz="0" w:space="0" w:color="auto"/>
              <w:bottom w:val="none" w:sz="0" w:space="0" w:color="auto"/>
            </w:tcBorders>
            <w:noWrap/>
            <w:hideMark/>
          </w:tcPr>
          <w:p w14:paraId="6893A821" w14:textId="77777777" w:rsidR="00F73311" w:rsidRPr="003266D8" w:rsidRDefault="00F73311" w:rsidP="003266D8">
            <w:pPr>
              <w:tabs>
                <w:tab w:val="decimal" w:pos="567"/>
              </w:tabs>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10</w:t>
            </w:r>
          </w:p>
        </w:tc>
      </w:tr>
      <w:tr w:rsidR="003266D8" w:rsidRPr="003266D8" w14:paraId="72DE1D86" w14:textId="77777777" w:rsidTr="003266D8">
        <w:trPr>
          <w:trHeight w:val="290"/>
        </w:trPr>
        <w:tc>
          <w:tcPr>
            <w:cnfStyle w:val="001000000000" w:firstRow="0" w:lastRow="0" w:firstColumn="1" w:lastColumn="0" w:oddVBand="0" w:evenVBand="0" w:oddHBand="0" w:evenHBand="0" w:firstRowFirstColumn="0" w:firstRowLastColumn="0" w:lastRowFirstColumn="0" w:lastRowLastColumn="0"/>
            <w:tcW w:w="555" w:type="pct"/>
            <w:vMerge/>
            <w:hideMark/>
          </w:tcPr>
          <w:p w14:paraId="0CEA101D" w14:textId="77777777" w:rsidR="00F73311" w:rsidRPr="003266D8" w:rsidRDefault="00F73311" w:rsidP="003266D8">
            <w:pPr>
              <w:jc w:val="center"/>
              <w:rPr>
                <w:b w:val="0"/>
                <w:lang w:bidi="ar-SA"/>
              </w:rPr>
            </w:pPr>
          </w:p>
        </w:tc>
        <w:tc>
          <w:tcPr>
            <w:tcW w:w="549" w:type="pct"/>
            <w:noWrap/>
            <w:hideMark/>
          </w:tcPr>
          <w:p w14:paraId="0A78D0DA"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Male</w:t>
            </w:r>
          </w:p>
        </w:tc>
        <w:tc>
          <w:tcPr>
            <w:tcW w:w="867" w:type="pct"/>
            <w:noWrap/>
            <w:hideMark/>
          </w:tcPr>
          <w:p w14:paraId="57F0E408"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3.3</w:t>
            </w:r>
          </w:p>
        </w:tc>
        <w:tc>
          <w:tcPr>
            <w:tcW w:w="1006" w:type="pct"/>
            <w:noWrap/>
            <w:hideMark/>
          </w:tcPr>
          <w:p w14:paraId="4F68E085"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0.294</w:t>
            </w:r>
          </w:p>
        </w:tc>
        <w:tc>
          <w:tcPr>
            <w:tcW w:w="786" w:type="pct"/>
            <w:noWrap/>
            <w:hideMark/>
          </w:tcPr>
          <w:p w14:paraId="057A3173"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0.206</w:t>
            </w:r>
          </w:p>
        </w:tc>
        <w:tc>
          <w:tcPr>
            <w:tcW w:w="682" w:type="pct"/>
            <w:noWrap/>
            <w:hideMark/>
          </w:tcPr>
          <w:p w14:paraId="3BC7C82B"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0.500</w:t>
            </w:r>
          </w:p>
        </w:tc>
        <w:tc>
          <w:tcPr>
            <w:tcW w:w="555" w:type="pct"/>
            <w:noWrap/>
            <w:hideMark/>
          </w:tcPr>
          <w:p w14:paraId="7A56E6B8" w14:textId="77777777" w:rsidR="00F73311" w:rsidRPr="003266D8" w:rsidRDefault="00F73311" w:rsidP="003266D8">
            <w:pPr>
              <w:tabs>
                <w:tab w:val="decimal" w:pos="567"/>
              </w:tabs>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17</w:t>
            </w:r>
          </w:p>
        </w:tc>
      </w:tr>
      <w:tr w:rsidR="003266D8" w:rsidRPr="003266D8" w14:paraId="0AD23CA2" w14:textId="77777777" w:rsidTr="003266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one" w:sz="0" w:space="0" w:color="auto"/>
              <w:bottom w:val="none" w:sz="0" w:space="0" w:color="auto"/>
              <w:right w:val="none" w:sz="0" w:space="0" w:color="auto"/>
            </w:tcBorders>
            <w:shd w:val="clear" w:color="auto" w:fill="EAF1DD" w:themeFill="accent3" w:themeFillTint="33"/>
            <w:noWrap/>
            <w:hideMark/>
          </w:tcPr>
          <w:p w14:paraId="4E1F811C" w14:textId="77777777" w:rsidR="00F73311" w:rsidRPr="003266D8" w:rsidRDefault="00F73311" w:rsidP="003266D8">
            <w:pPr>
              <w:jc w:val="center"/>
              <w:rPr>
                <w:b w:val="0"/>
                <w:lang w:bidi="ar-SA"/>
              </w:rPr>
            </w:pPr>
            <w:r w:rsidRPr="003266D8">
              <w:rPr>
                <w:b w:val="0"/>
                <w:lang w:bidi="ar-SA"/>
              </w:rPr>
              <w:t>15-18</w:t>
            </w:r>
          </w:p>
        </w:tc>
        <w:tc>
          <w:tcPr>
            <w:tcW w:w="549" w:type="pct"/>
            <w:tcBorders>
              <w:top w:val="none" w:sz="0" w:space="0" w:color="auto"/>
              <w:bottom w:val="none" w:sz="0" w:space="0" w:color="auto"/>
            </w:tcBorders>
            <w:shd w:val="clear" w:color="auto" w:fill="EAF1DD" w:themeFill="accent3" w:themeFillTint="33"/>
            <w:noWrap/>
            <w:hideMark/>
          </w:tcPr>
          <w:p w14:paraId="29A8EA83"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Female</w:t>
            </w:r>
          </w:p>
        </w:tc>
        <w:tc>
          <w:tcPr>
            <w:tcW w:w="867" w:type="pct"/>
            <w:tcBorders>
              <w:top w:val="none" w:sz="0" w:space="0" w:color="auto"/>
              <w:bottom w:val="none" w:sz="0" w:space="0" w:color="auto"/>
            </w:tcBorders>
            <w:shd w:val="clear" w:color="auto" w:fill="EAF1DD" w:themeFill="accent3" w:themeFillTint="33"/>
            <w:noWrap/>
            <w:hideMark/>
          </w:tcPr>
          <w:p w14:paraId="5039672D"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2.4</w:t>
            </w:r>
          </w:p>
        </w:tc>
        <w:tc>
          <w:tcPr>
            <w:tcW w:w="1006" w:type="pct"/>
            <w:tcBorders>
              <w:top w:val="none" w:sz="0" w:space="0" w:color="auto"/>
              <w:bottom w:val="none" w:sz="0" w:space="0" w:color="auto"/>
            </w:tcBorders>
            <w:shd w:val="clear" w:color="auto" w:fill="EAF1DD" w:themeFill="accent3" w:themeFillTint="33"/>
            <w:noWrap/>
            <w:hideMark/>
          </w:tcPr>
          <w:p w14:paraId="4537FD0B"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0.215</w:t>
            </w:r>
          </w:p>
        </w:tc>
        <w:tc>
          <w:tcPr>
            <w:tcW w:w="786" w:type="pct"/>
            <w:tcBorders>
              <w:top w:val="none" w:sz="0" w:space="0" w:color="auto"/>
              <w:bottom w:val="none" w:sz="0" w:space="0" w:color="auto"/>
            </w:tcBorders>
            <w:shd w:val="clear" w:color="auto" w:fill="EAF1DD" w:themeFill="accent3" w:themeFillTint="33"/>
            <w:noWrap/>
            <w:hideMark/>
          </w:tcPr>
          <w:p w14:paraId="0FF364B8"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0.179</w:t>
            </w:r>
          </w:p>
        </w:tc>
        <w:tc>
          <w:tcPr>
            <w:tcW w:w="682" w:type="pct"/>
            <w:tcBorders>
              <w:top w:val="none" w:sz="0" w:space="0" w:color="auto"/>
              <w:bottom w:val="none" w:sz="0" w:space="0" w:color="auto"/>
            </w:tcBorders>
            <w:shd w:val="clear" w:color="auto" w:fill="EAF1DD" w:themeFill="accent3" w:themeFillTint="33"/>
            <w:noWrap/>
            <w:hideMark/>
          </w:tcPr>
          <w:p w14:paraId="076B9288"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0.394</w:t>
            </w:r>
          </w:p>
        </w:tc>
        <w:tc>
          <w:tcPr>
            <w:tcW w:w="555" w:type="pct"/>
            <w:tcBorders>
              <w:top w:val="none" w:sz="0" w:space="0" w:color="auto"/>
              <w:bottom w:val="none" w:sz="0" w:space="0" w:color="auto"/>
            </w:tcBorders>
            <w:shd w:val="clear" w:color="auto" w:fill="EAF1DD" w:themeFill="accent3" w:themeFillTint="33"/>
            <w:noWrap/>
            <w:hideMark/>
          </w:tcPr>
          <w:p w14:paraId="44E11AE9" w14:textId="77777777" w:rsidR="00F73311" w:rsidRPr="003266D8" w:rsidRDefault="00F73311" w:rsidP="003266D8">
            <w:pPr>
              <w:tabs>
                <w:tab w:val="decimal" w:pos="567"/>
              </w:tabs>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13</w:t>
            </w:r>
          </w:p>
        </w:tc>
      </w:tr>
      <w:tr w:rsidR="003266D8" w:rsidRPr="003266D8" w14:paraId="6A59D283" w14:textId="77777777" w:rsidTr="003266D8">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right w:val="none" w:sz="0" w:space="0" w:color="auto"/>
            </w:tcBorders>
            <w:shd w:val="clear" w:color="auto" w:fill="EAF1DD" w:themeFill="accent3" w:themeFillTint="33"/>
            <w:hideMark/>
          </w:tcPr>
          <w:p w14:paraId="3E6CBA1D" w14:textId="77777777" w:rsidR="00F73311" w:rsidRPr="003266D8" w:rsidRDefault="00F73311" w:rsidP="003266D8">
            <w:pPr>
              <w:jc w:val="center"/>
              <w:rPr>
                <w:b w:val="0"/>
                <w:lang w:bidi="ar-SA"/>
              </w:rPr>
            </w:pPr>
          </w:p>
        </w:tc>
        <w:tc>
          <w:tcPr>
            <w:tcW w:w="549" w:type="pct"/>
            <w:shd w:val="clear" w:color="auto" w:fill="EAF1DD" w:themeFill="accent3" w:themeFillTint="33"/>
            <w:noWrap/>
            <w:hideMark/>
          </w:tcPr>
          <w:p w14:paraId="6C2CCB44"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Male</w:t>
            </w:r>
          </w:p>
        </w:tc>
        <w:tc>
          <w:tcPr>
            <w:tcW w:w="867" w:type="pct"/>
            <w:shd w:val="clear" w:color="auto" w:fill="EAF1DD" w:themeFill="accent3" w:themeFillTint="33"/>
            <w:noWrap/>
            <w:hideMark/>
          </w:tcPr>
          <w:p w14:paraId="0D7EDCA7"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3.4</w:t>
            </w:r>
          </w:p>
        </w:tc>
        <w:tc>
          <w:tcPr>
            <w:tcW w:w="1006" w:type="pct"/>
            <w:shd w:val="clear" w:color="auto" w:fill="EAF1DD" w:themeFill="accent3" w:themeFillTint="33"/>
            <w:noWrap/>
            <w:hideMark/>
          </w:tcPr>
          <w:p w14:paraId="56E3AA57"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0.297</w:t>
            </w:r>
          </w:p>
        </w:tc>
        <w:tc>
          <w:tcPr>
            <w:tcW w:w="786" w:type="pct"/>
            <w:shd w:val="clear" w:color="auto" w:fill="EAF1DD" w:themeFill="accent3" w:themeFillTint="33"/>
            <w:noWrap/>
            <w:hideMark/>
          </w:tcPr>
          <w:p w14:paraId="770AA3DE"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0.206</w:t>
            </w:r>
          </w:p>
        </w:tc>
        <w:tc>
          <w:tcPr>
            <w:tcW w:w="682" w:type="pct"/>
            <w:shd w:val="clear" w:color="auto" w:fill="EAF1DD" w:themeFill="accent3" w:themeFillTint="33"/>
            <w:noWrap/>
            <w:hideMark/>
          </w:tcPr>
          <w:p w14:paraId="6E3D7ACD"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0.503</w:t>
            </w:r>
          </w:p>
        </w:tc>
        <w:tc>
          <w:tcPr>
            <w:tcW w:w="555" w:type="pct"/>
            <w:shd w:val="clear" w:color="auto" w:fill="EAF1DD" w:themeFill="accent3" w:themeFillTint="33"/>
            <w:noWrap/>
            <w:hideMark/>
          </w:tcPr>
          <w:p w14:paraId="479CEDC1" w14:textId="77777777" w:rsidR="00F73311" w:rsidRPr="003266D8" w:rsidRDefault="00F73311" w:rsidP="003266D8">
            <w:pPr>
              <w:tabs>
                <w:tab w:val="decimal" w:pos="567"/>
              </w:tabs>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17</w:t>
            </w:r>
          </w:p>
        </w:tc>
      </w:tr>
      <w:tr w:rsidR="003266D8" w:rsidRPr="003266D8" w14:paraId="6744D970" w14:textId="77777777" w:rsidTr="003266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one" w:sz="0" w:space="0" w:color="auto"/>
              <w:bottom w:val="none" w:sz="0" w:space="0" w:color="auto"/>
              <w:right w:val="none" w:sz="0" w:space="0" w:color="auto"/>
            </w:tcBorders>
            <w:noWrap/>
            <w:hideMark/>
          </w:tcPr>
          <w:p w14:paraId="12EDDDC9" w14:textId="77777777" w:rsidR="00F73311" w:rsidRPr="003266D8" w:rsidRDefault="00F73311" w:rsidP="003266D8">
            <w:pPr>
              <w:jc w:val="center"/>
              <w:rPr>
                <w:b w:val="0"/>
                <w:lang w:bidi="ar-SA"/>
              </w:rPr>
            </w:pPr>
            <w:r w:rsidRPr="003266D8">
              <w:rPr>
                <w:b w:val="0"/>
                <w:lang w:bidi="ar-SA"/>
              </w:rPr>
              <w:t>19-30</w:t>
            </w:r>
          </w:p>
        </w:tc>
        <w:tc>
          <w:tcPr>
            <w:tcW w:w="549" w:type="pct"/>
            <w:tcBorders>
              <w:top w:val="none" w:sz="0" w:space="0" w:color="auto"/>
              <w:bottom w:val="none" w:sz="0" w:space="0" w:color="auto"/>
            </w:tcBorders>
            <w:noWrap/>
            <w:hideMark/>
          </w:tcPr>
          <w:p w14:paraId="4A62149A"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Female</w:t>
            </w:r>
          </w:p>
        </w:tc>
        <w:tc>
          <w:tcPr>
            <w:tcW w:w="867" w:type="pct"/>
            <w:tcBorders>
              <w:top w:val="none" w:sz="0" w:space="0" w:color="auto"/>
              <w:bottom w:val="none" w:sz="0" w:space="0" w:color="auto"/>
            </w:tcBorders>
            <w:noWrap/>
            <w:hideMark/>
          </w:tcPr>
          <w:p w14:paraId="2FBD34B5"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3.0</w:t>
            </w:r>
          </w:p>
        </w:tc>
        <w:tc>
          <w:tcPr>
            <w:tcW w:w="1006" w:type="pct"/>
            <w:tcBorders>
              <w:top w:val="none" w:sz="0" w:space="0" w:color="auto"/>
              <w:bottom w:val="none" w:sz="0" w:space="0" w:color="auto"/>
            </w:tcBorders>
            <w:noWrap/>
            <w:hideMark/>
          </w:tcPr>
          <w:p w14:paraId="089BD8A7"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0.263</w:t>
            </w:r>
          </w:p>
        </w:tc>
        <w:tc>
          <w:tcPr>
            <w:tcW w:w="786" w:type="pct"/>
            <w:tcBorders>
              <w:top w:val="none" w:sz="0" w:space="0" w:color="auto"/>
              <w:bottom w:val="none" w:sz="0" w:space="0" w:color="auto"/>
            </w:tcBorders>
            <w:noWrap/>
            <w:hideMark/>
          </w:tcPr>
          <w:p w14:paraId="5DD32A6D"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0.187</w:t>
            </w:r>
          </w:p>
        </w:tc>
        <w:tc>
          <w:tcPr>
            <w:tcW w:w="682" w:type="pct"/>
            <w:tcBorders>
              <w:top w:val="none" w:sz="0" w:space="0" w:color="auto"/>
              <w:bottom w:val="none" w:sz="0" w:space="0" w:color="auto"/>
            </w:tcBorders>
            <w:noWrap/>
            <w:hideMark/>
          </w:tcPr>
          <w:p w14:paraId="090F7470"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0.450</w:t>
            </w:r>
          </w:p>
        </w:tc>
        <w:tc>
          <w:tcPr>
            <w:tcW w:w="555" w:type="pct"/>
            <w:tcBorders>
              <w:top w:val="none" w:sz="0" w:space="0" w:color="auto"/>
              <w:bottom w:val="none" w:sz="0" w:space="0" w:color="auto"/>
            </w:tcBorders>
            <w:noWrap/>
            <w:hideMark/>
          </w:tcPr>
          <w:p w14:paraId="30F2A230" w14:textId="77777777" w:rsidR="00F73311" w:rsidRPr="003266D8" w:rsidRDefault="00F73311" w:rsidP="003266D8">
            <w:pPr>
              <w:tabs>
                <w:tab w:val="decimal" w:pos="567"/>
              </w:tabs>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15</w:t>
            </w:r>
          </w:p>
        </w:tc>
      </w:tr>
      <w:tr w:rsidR="003266D8" w:rsidRPr="003266D8" w14:paraId="4A785A4C" w14:textId="77777777" w:rsidTr="003266D8">
        <w:trPr>
          <w:trHeight w:val="290"/>
        </w:trPr>
        <w:tc>
          <w:tcPr>
            <w:cnfStyle w:val="001000000000" w:firstRow="0" w:lastRow="0" w:firstColumn="1" w:lastColumn="0" w:oddVBand="0" w:evenVBand="0" w:oddHBand="0" w:evenHBand="0" w:firstRowFirstColumn="0" w:firstRowLastColumn="0" w:lastRowFirstColumn="0" w:lastRowLastColumn="0"/>
            <w:tcW w:w="555" w:type="pct"/>
            <w:vMerge/>
            <w:hideMark/>
          </w:tcPr>
          <w:p w14:paraId="57567AE6" w14:textId="77777777" w:rsidR="00F73311" w:rsidRPr="003266D8" w:rsidRDefault="00F73311" w:rsidP="003266D8">
            <w:pPr>
              <w:jc w:val="center"/>
              <w:rPr>
                <w:b w:val="0"/>
                <w:lang w:bidi="ar-SA"/>
              </w:rPr>
            </w:pPr>
          </w:p>
        </w:tc>
        <w:tc>
          <w:tcPr>
            <w:tcW w:w="549" w:type="pct"/>
            <w:noWrap/>
            <w:hideMark/>
          </w:tcPr>
          <w:p w14:paraId="2BB5A1E6"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Male</w:t>
            </w:r>
          </w:p>
        </w:tc>
        <w:tc>
          <w:tcPr>
            <w:tcW w:w="867" w:type="pct"/>
            <w:noWrap/>
            <w:hideMark/>
          </w:tcPr>
          <w:p w14:paraId="7210ADF2"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4.3</w:t>
            </w:r>
          </w:p>
        </w:tc>
        <w:tc>
          <w:tcPr>
            <w:tcW w:w="1006" w:type="pct"/>
            <w:noWrap/>
            <w:hideMark/>
          </w:tcPr>
          <w:p w14:paraId="04EE225E"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0.378</w:t>
            </w:r>
          </w:p>
        </w:tc>
        <w:tc>
          <w:tcPr>
            <w:tcW w:w="786" w:type="pct"/>
            <w:noWrap/>
            <w:hideMark/>
          </w:tcPr>
          <w:p w14:paraId="3EA91098"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0.262</w:t>
            </w:r>
          </w:p>
        </w:tc>
        <w:tc>
          <w:tcPr>
            <w:tcW w:w="682" w:type="pct"/>
            <w:noWrap/>
            <w:hideMark/>
          </w:tcPr>
          <w:p w14:paraId="76EE63A5"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0.640</w:t>
            </w:r>
          </w:p>
        </w:tc>
        <w:tc>
          <w:tcPr>
            <w:tcW w:w="555" w:type="pct"/>
            <w:noWrap/>
            <w:hideMark/>
          </w:tcPr>
          <w:p w14:paraId="32719546" w14:textId="77777777" w:rsidR="00F73311" w:rsidRPr="003266D8" w:rsidRDefault="00F73311" w:rsidP="003266D8">
            <w:pPr>
              <w:tabs>
                <w:tab w:val="decimal" w:pos="567"/>
              </w:tabs>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21</w:t>
            </w:r>
          </w:p>
        </w:tc>
      </w:tr>
      <w:tr w:rsidR="003266D8" w:rsidRPr="003266D8" w14:paraId="032170A3" w14:textId="77777777" w:rsidTr="003266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one" w:sz="0" w:space="0" w:color="auto"/>
              <w:bottom w:val="none" w:sz="0" w:space="0" w:color="auto"/>
              <w:right w:val="none" w:sz="0" w:space="0" w:color="auto"/>
            </w:tcBorders>
            <w:shd w:val="clear" w:color="auto" w:fill="EAF1DD" w:themeFill="accent3" w:themeFillTint="33"/>
            <w:noWrap/>
            <w:hideMark/>
          </w:tcPr>
          <w:p w14:paraId="062CF479" w14:textId="77777777" w:rsidR="00F73311" w:rsidRPr="003266D8" w:rsidRDefault="00F73311" w:rsidP="003266D8">
            <w:pPr>
              <w:jc w:val="center"/>
              <w:rPr>
                <w:b w:val="0"/>
                <w:lang w:bidi="ar-SA"/>
              </w:rPr>
            </w:pPr>
            <w:r w:rsidRPr="003266D8">
              <w:rPr>
                <w:b w:val="0"/>
                <w:lang w:bidi="ar-SA"/>
              </w:rPr>
              <w:t>31-50</w:t>
            </w:r>
          </w:p>
        </w:tc>
        <w:tc>
          <w:tcPr>
            <w:tcW w:w="549" w:type="pct"/>
            <w:tcBorders>
              <w:top w:val="none" w:sz="0" w:space="0" w:color="auto"/>
              <w:bottom w:val="none" w:sz="0" w:space="0" w:color="auto"/>
            </w:tcBorders>
            <w:shd w:val="clear" w:color="auto" w:fill="EAF1DD" w:themeFill="accent3" w:themeFillTint="33"/>
            <w:noWrap/>
            <w:hideMark/>
          </w:tcPr>
          <w:p w14:paraId="05AB77CA"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Female</w:t>
            </w:r>
          </w:p>
        </w:tc>
        <w:tc>
          <w:tcPr>
            <w:tcW w:w="867" w:type="pct"/>
            <w:tcBorders>
              <w:top w:val="none" w:sz="0" w:space="0" w:color="auto"/>
              <w:bottom w:val="none" w:sz="0" w:space="0" w:color="auto"/>
            </w:tcBorders>
            <w:shd w:val="clear" w:color="auto" w:fill="EAF1DD" w:themeFill="accent3" w:themeFillTint="33"/>
            <w:noWrap/>
            <w:hideMark/>
          </w:tcPr>
          <w:p w14:paraId="1E1F2BD8"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3.0</w:t>
            </w:r>
          </w:p>
        </w:tc>
        <w:tc>
          <w:tcPr>
            <w:tcW w:w="1006" w:type="pct"/>
            <w:tcBorders>
              <w:top w:val="none" w:sz="0" w:space="0" w:color="auto"/>
              <w:bottom w:val="none" w:sz="0" w:space="0" w:color="auto"/>
            </w:tcBorders>
            <w:shd w:val="clear" w:color="auto" w:fill="EAF1DD" w:themeFill="accent3" w:themeFillTint="33"/>
            <w:noWrap/>
            <w:hideMark/>
          </w:tcPr>
          <w:p w14:paraId="2CE1BE6F"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0.261</w:t>
            </w:r>
          </w:p>
        </w:tc>
        <w:tc>
          <w:tcPr>
            <w:tcW w:w="786" w:type="pct"/>
            <w:tcBorders>
              <w:top w:val="none" w:sz="0" w:space="0" w:color="auto"/>
              <w:bottom w:val="none" w:sz="0" w:space="0" w:color="auto"/>
            </w:tcBorders>
            <w:shd w:val="clear" w:color="auto" w:fill="EAF1DD" w:themeFill="accent3" w:themeFillTint="33"/>
            <w:noWrap/>
            <w:hideMark/>
          </w:tcPr>
          <w:p w14:paraId="6B536E4E"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0.234</w:t>
            </w:r>
          </w:p>
        </w:tc>
        <w:tc>
          <w:tcPr>
            <w:tcW w:w="682" w:type="pct"/>
            <w:tcBorders>
              <w:top w:val="none" w:sz="0" w:space="0" w:color="auto"/>
              <w:bottom w:val="none" w:sz="0" w:space="0" w:color="auto"/>
            </w:tcBorders>
            <w:shd w:val="clear" w:color="auto" w:fill="EAF1DD" w:themeFill="accent3" w:themeFillTint="33"/>
            <w:noWrap/>
            <w:hideMark/>
          </w:tcPr>
          <w:p w14:paraId="7ABB9933"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0.495</w:t>
            </w:r>
          </w:p>
        </w:tc>
        <w:tc>
          <w:tcPr>
            <w:tcW w:w="555" w:type="pct"/>
            <w:tcBorders>
              <w:top w:val="none" w:sz="0" w:space="0" w:color="auto"/>
              <w:bottom w:val="none" w:sz="0" w:space="0" w:color="auto"/>
            </w:tcBorders>
            <w:shd w:val="clear" w:color="auto" w:fill="EAF1DD" w:themeFill="accent3" w:themeFillTint="33"/>
            <w:noWrap/>
            <w:hideMark/>
          </w:tcPr>
          <w:p w14:paraId="09F124E7" w14:textId="77777777" w:rsidR="00F73311" w:rsidRPr="003266D8" w:rsidRDefault="00F73311" w:rsidP="003266D8">
            <w:pPr>
              <w:tabs>
                <w:tab w:val="decimal" w:pos="567"/>
              </w:tabs>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16</w:t>
            </w:r>
          </w:p>
        </w:tc>
      </w:tr>
      <w:tr w:rsidR="003266D8" w:rsidRPr="003266D8" w14:paraId="27C6A2E6" w14:textId="77777777" w:rsidTr="003266D8">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right w:val="none" w:sz="0" w:space="0" w:color="auto"/>
            </w:tcBorders>
            <w:shd w:val="clear" w:color="auto" w:fill="EAF1DD" w:themeFill="accent3" w:themeFillTint="33"/>
            <w:hideMark/>
          </w:tcPr>
          <w:p w14:paraId="34EAD1F7" w14:textId="77777777" w:rsidR="00F73311" w:rsidRPr="003266D8" w:rsidRDefault="00F73311" w:rsidP="003266D8">
            <w:pPr>
              <w:jc w:val="center"/>
              <w:rPr>
                <w:b w:val="0"/>
                <w:lang w:bidi="ar-SA"/>
              </w:rPr>
            </w:pPr>
          </w:p>
        </w:tc>
        <w:tc>
          <w:tcPr>
            <w:tcW w:w="549" w:type="pct"/>
            <w:shd w:val="clear" w:color="auto" w:fill="EAF1DD" w:themeFill="accent3" w:themeFillTint="33"/>
            <w:noWrap/>
            <w:hideMark/>
          </w:tcPr>
          <w:p w14:paraId="2F85C5C7"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Male</w:t>
            </w:r>
          </w:p>
        </w:tc>
        <w:tc>
          <w:tcPr>
            <w:tcW w:w="867" w:type="pct"/>
            <w:shd w:val="clear" w:color="auto" w:fill="EAF1DD" w:themeFill="accent3" w:themeFillTint="33"/>
            <w:noWrap/>
            <w:hideMark/>
          </w:tcPr>
          <w:p w14:paraId="3A0133FE"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4.5</w:t>
            </w:r>
          </w:p>
        </w:tc>
        <w:tc>
          <w:tcPr>
            <w:tcW w:w="1006" w:type="pct"/>
            <w:shd w:val="clear" w:color="auto" w:fill="EAF1DD" w:themeFill="accent3" w:themeFillTint="33"/>
            <w:noWrap/>
            <w:hideMark/>
          </w:tcPr>
          <w:p w14:paraId="5B3462CD"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0.398</w:t>
            </w:r>
          </w:p>
        </w:tc>
        <w:tc>
          <w:tcPr>
            <w:tcW w:w="786" w:type="pct"/>
            <w:shd w:val="clear" w:color="auto" w:fill="EAF1DD" w:themeFill="accent3" w:themeFillTint="33"/>
            <w:noWrap/>
            <w:hideMark/>
          </w:tcPr>
          <w:p w14:paraId="03BF2FEA"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0.270</w:t>
            </w:r>
          </w:p>
        </w:tc>
        <w:tc>
          <w:tcPr>
            <w:tcW w:w="682" w:type="pct"/>
            <w:shd w:val="clear" w:color="auto" w:fill="EAF1DD" w:themeFill="accent3" w:themeFillTint="33"/>
            <w:noWrap/>
            <w:hideMark/>
          </w:tcPr>
          <w:p w14:paraId="589DC487"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0.668</w:t>
            </w:r>
          </w:p>
        </w:tc>
        <w:tc>
          <w:tcPr>
            <w:tcW w:w="555" w:type="pct"/>
            <w:shd w:val="clear" w:color="auto" w:fill="EAF1DD" w:themeFill="accent3" w:themeFillTint="33"/>
            <w:noWrap/>
            <w:hideMark/>
          </w:tcPr>
          <w:p w14:paraId="37894270" w14:textId="77777777" w:rsidR="00F73311" w:rsidRPr="003266D8" w:rsidRDefault="00F73311" w:rsidP="003266D8">
            <w:pPr>
              <w:tabs>
                <w:tab w:val="decimal" w:pos="567"/>
              </w:tabs>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22</w:t>
            </w:r>
          </w:p>
        </w:tc>
      </w:tr>
      <w:tr w:rsidR="003266D8" w:rsidRPr="003266D8" w14:paraId="60CC6A24" w14:textId="77777777" w:rsidTr="003266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one" w:sz="0" w:space="0" w:color="auto"/>
              <w:bottom w:val="none" w:sz="0" w:space="0" w:color="auto"/>
              <w:right w:val="none" w:sz="0" w:space="0" w:color="auto"/>
            </w:tcBorders>
            <w:noWrap/>
            <w:hideMark/>
          </w:tcPr>
          <w:p w14:paraId="0A640DBA" w14:textId="77777777" w:rsidR="00F73311" w:rsidRPr="003266D8" w:rsidRDefault="00F73311" w:rsidP="003266D8">
            <w:pPr>
              <w:jc w:val="center"/>
              <w:rPr>
                <w:b w:val="0"/>
                <w:lang w:bidi="ar-SA"/>
              </w:rPr>
            </w:pPr>
            <w:r w:rsidRPr="003266D8">
              <w:rPr>
                <w:b w:val="0"/>
                <w:lang w:bidi="ar-SA"/>
              </w:rPr>
              <w:t>51-70</w:t>
            </w:r>
          </w:p>
        </w:tc>
        <w:tc>
          <w:tcPr>
            <w:tcW w:w="549" w:type="pct"/>
            <w:tcBorders>
              <w:top w:val="none" w:sz="0" w:space="0" w:color="auto"/>
              <w:bottom w:val="none" w:sz="0" w:space="0" w:color="auto"/>
            </w:tcBorders>
            <w:noWrap/>
            <w:hideMark/>
          </w:tcPr>
          <w:p w14:paraId="3B6F4694"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Female</w:t>
            </w:r>
          </w:p>
        </w:tc>
        <w:tc>
          <w:tcPr>
            <w:tcW w:w="867" w:type="pct"/>
            <w:tcBorders>
              <w:top w:val="none" w:sz="0" w:space="0" w:color="auto"/>
              <w:bottom w:val="none" w:sz="0" w:space="0" w:color="auto"/>
            </w:tcBorders>
            <w:noWrap/>
            <w:hideMark/>
          </w:tcPr>
          <w:p w14:paraId="36F36379"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3.4</w:t>
            </w:r>
          </w:p>
        </w:tc>
        <w:tc>
          <w:tcPr>
            <w:tcW w:w="1006" w:type="pct"/>
            <w:tcBorders>
              <w:top w:val="none" w:sz="0" w:space="0" w:color="auto"/>
              <w:bottom w:val="none" w:sz="0" w:space="0" w:color="auto"/>
            </w:tcBorders>
            <w:noWrap/>
            <w:hideMark/>
          </w:tcPr>
          <w:p w14:paraId="323BEC47"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0.300</w:t>
            </w:r>
          </w:p>
        </w:tc>
        <w:tc>
          <w:tcPr>
            <w:tcW w:w="786" w:type="pct"/>
            <w:tcBorders>
              <w:top w:val="none" w:sz="0" w:space="0" w:color="auto"/>
              <w:bottom w:val="none" w:sz="0" w:space="0" w:color="auto"/>
            </w:tcBorders>
            <w:noWrap/>
            <w:hideMark/>
          </w:tcPr>
          <w:p w14:paraId="3FE43908"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0.241</w:t>
            </w:r>
          </w:p>
        </w:tc>
        <w:tc>
          <w:tcPr>
            <w:tcW w:w="682" w:type="pct"/>
            <w:tcBorders>
              <w:top w:val="none" w:sz="0" w:space="0" w:color="auto"/>
              <w:bottom w:val="none" w:sz="0" w:space="0" w:color="auto"/>
            </w:tcBorders>
            <w:noWrap/>
            <w:hideMark/>
          </w:tcPr>
          <w:p w14:paraId="316CCE8F"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0.541</w:t>
            </w:r>
          </w:p>
        </w:tc>
        <w:tc>
          <w:tcPr>
            <w:tcW w:w="555" w:type="pct"/>
            <w:tcBorders>
              <w:top w:val="none" w:sz="0" w:space="0" w:color="auto"/>
              <w:bottom w:val="none" w:sz="0" w:space="0" w:color="auto"/>
            </w:tcBorders>
            <w:noWrap/>
            <w:hideMark/>
          </w:tcPr>
          <w:p w14:paraId="363D17F2" w14:textId="77777777" w:rsidR="00F73311" w:rsidRPr="003266D8" w:rsidRDefault="00F73311" w:rsidP="003266D8">
            <w:pPr>
              <w:tabs>
                <w:tab w:val="decimal" w:pos="567"/>
              </w:tabs>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18</w:t>
            </w:r>
          </w:p>
        </w:tc>
      </w:tr>
      <w:tr w:rsidR="003266D8" w:rsidRPr="003266D8" w14:paraId="0E21ED1F" w14:textId="77777777" w:rsidTr="003266D8">
        <w:trPr>
          <w:trHeight w:val="290"/>
        </w:trPr>
        <w:tc>
          <w:tcPr>
            <w:cnfStyle w:val="001000000000" w:firstRow="0" w:lastRow="0" w:firstColumn="1" w:lastColumn="0" w:oddVBand="0" w:evenVBand="0" w:oddHBand="0" w:evenHBand="0" w:firstRowFirstColumn="0" w:firstRowLastColumn="0" w:lastRowFirstColumn="0" w:lastRowLastColumn="0"/>
            <w:tcW w:w="555" w:type="pct"/>
            <w:vMerge/>
            <w:hideMark/>
          </w:tcPr>
          <w:p w14:paraId="1D10CF02" w14:textId="77777777" w:rsidR="00F73311" w:rsidRPr="003266D8" w:rsidRDefault="00F73311" w:rsidP="003266D8">
            <w:pPr>
              <w:jc w:val="center"/>
              <w:rPr>
                <w:b w:val="0"/>
                <w:lang w:bidi="ar-SA"/>
              </w:rPr>
            </w:pPr>
          </w:p>
        </w:tc>
        <w:tc>
          <w:tcPr>
            <w:tcW w:w="549" w:type="pct"/>
            <w:noWrap/>
            <w:hideMark/>
          </w:tcPr>
          <w:p w14:paraId="28E230BB"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Male</w:t>
            </w:r>
          </w:p>
        </w:tc>
        <w:tc>
          <w:tcPr>
            <w:tcW w:w="867" w:type="pct"/>
            <w:noWrap/>
            <w:hideMark/>
          </w:tcPr>
          <w:p w14:paraId="087447D5"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4.1</w:t>
            </w:r>
          </w:p>
        </w:tc>
        <w:tc>
          <w:tcPr>
            <w:tcW w:w="1006" w:type="pct"/>
            <w:noWrap/>
            <w:hideMark/>
          </w:tcPr>
          <w:p w14:paraId="6FF47E4F"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0.357</w:t>
            </w:r>
          </w:p>
        </w:tc>
        <w:tc>
          <w:tcPr>
            <w:tcW w:w="786" w:type="pct"/>
            <w:noWrap/>
            <w:hideMark/>
          </w:tcPr>
          <w:p w14:paraId="119E84ED"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0.258</w:t>
            </w:r>
          </w:p>
        </w:tc>
        <w:tc>
          <w:tcPr>
            <w:tcW w:w="682" w:type="pct"/>
            <w:noWrap/>
            <w:hideMark/>
          </w:tcPr>
          <w:p w14:paraId="095E450D"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0.615</w:t>
            </w:r>
          </w:p>
        </w:tc>
        <w:tc>
          <w:tcPr>
            <w:tcW w:w="555" w:type="pct"/>
            <w:noWrap/>
            <w:hideMark/>
          </w:tcPr>
          <w:p w14:paraId="008BCC1C" w14:textId="77777777" w:rsidR="00F73311" w:rsidRPr="003266D8" w:rsidRDefault="00F73311" w:rsidP="003266D8">
            <w:pPr>
              <w:tabs>
                <w:tab w:val="decimal" w:pos="567"/>
              </w:tabs>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20</w:t>
            </w:r>
          </w:p>
        </w:tc>
      </w:tr>
      <w:tr w:rsidR="003266D8" w:rsidRPr="003266D8" w14:paraId="770CC4E5" w14:textId="77777777" w:rsidTr="003266D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none" w:sz="0" w:space="0" w:color="auto"/>
              <w:bottom w:val="none" w:sz="0" w:space="0" w:color="auto"/>
              <w:right w:val="none" w:sz="0" w:space="0" w:color="auto"/>
            </w:tcBorders>
            <w:shd w:val="clear" w:color="auto" w:fill="EAF1DD" w:themeFill="accent3" w:themeFillTint="33"/>
            <w:noWrap/>
            <w:hideMark/>
          </w:tcPr>
          <w:p w14:paraId="4692726A" w14:textId="77777777" w:rsidR="00F73311" w:rsidRPr="003266D8" w:rsidRDefault="00F73311" w:rsidP="003266D8">
            <w:pPr>
              <w:jc w:val="center"/>
              <w:rPr>
                <w:b w:val="0"/>
                <w:lang w:bidi="ar-SA"/>
              </w:rPr>
            </w:pPr>
            <w:r w:rsidRPr="003266D8">
              <w:rPr>
                <w:b w:val="0"/>
                <w:lang w:bidi="ar-SA"/>
              </w:rPr>
              <w:t>&gt;= 71</w:t>
            </w:r>
          </w:p>
        </w:tc>
        <w:tc>
          <w:tcPr>
            <w:tcW w:w="549" w:type="pct"/>
            <w:tcBorders>
              <w:top w:val="none" w:sz="0" w:space="0" w:color="auto"/>
              <w:bottom w:val="none" w:sz="0" w:space="0" w:color="auto"/>
            </w:tcBorders>
            <w:shd w:val="clear" w:color="auto" w:fill="EAF1DD" w:themeFill="accent3" w:themeFillTint="33"/>
            <w:noWrap/>
            <w:hideMark/>
          </w:tcPr>
          <w:p w14:paraId="7B3C1BAB"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Female</w:t>
            </w:r>
          </w:p>
        </w:tc>
        <w:tc>
          <w:tcPr>
            <w:tcW w:w="867" w:type="pct"/>
            <w:tcBorders>
              <w:top w:val="none" w:sz="0" w:space="0" w:color="auto"/>
              <w:bottom w:val="none" w:sz="0" w:space="0" w:color="auto"/>
            </w:tcBorders>
            <w:shd w:val="clear" w:color="auto" w:fill="EAF1DD" w:themeFill="accent3" w:themeFillTint="33"/>
            <w:noWrap/>
            <w:hideMark/>
          </w:tcPr>
          <w:p w14:paraId="4BFE5878"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3.1</w:t>
            </w:r>
          </w:p>
        </w:tc>
        <w:tc>
          <w:tcPr>
            <w:tcW w:w="1006" w:type="pct"/>
            <w:tcBorders>
              <w:top w:val="none" w:sz="0" w:space="0" w:color="auto"/>
              <w:bottom w:val="none" w:sz="0" w:space="0" w:color="auto"/>
            </w:tcBorders>
            <w:shd w:val="clear" w:color="auto" w:fill="EAF1DD" w:themeFill="accent3" w:themeFillTint="33"/>
            <w:noWrap/>
            <w:hideMark/>
          </w:tcPr>
          <w:p w14:paraId="7794DC6A"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0.271</w:t>
            </w:r>
          </w:p>
        </w:tc>
        <w:tc>
          <w:tcPr>
            <w:tcW w:w="786" w:type="pct"/>
            <w:tcBorders>
              <w:top w:val="none" w:sz="0" w:space="0" w:color="auto"/>
              <w:bottom w:val="none" w:sz="0" w:space="0" w:color="auto"/>
            </w:tcBorders>
            <w:shd w:val="clear" w:color="auto" w:fill="EAF1DD" w:themeFill="accent3" w:themeFillTint="33"/>
            <w:noWrap/>
            <w:hideMark/>
          </w:tcPr>
          <w:p w14:paraId="24D8D322"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0.229</w:t>
            </w:r>
          </w:p>
        </w:tc>
        <w:tc>
          <w:tcPr>
            <w:tcW w:w="682" w:type="pct"/>
            <w:tcBorders>
              <w:top w:val="none" w:sz="0" w:space="0" w:color="auto"/>
              <w:bottom w:val="none" w:sz="0" w:space="0" w:color="auto"/>
            </w:tcBorders>
            <w:shd w:val="clear" w:color="auto" w:fill="EAF1DD" w:themeFill="accent3" w:themeFillTint="33"/>
            <w:noWrap/>
            <w:hideMark/>
          </w:tcPr>
          <w:p w14:paraId="2D28864F" w14:textId="77777777" w:rsidR="00F73311" w:rsidRPr="003266D8"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0.500</w:t>
            </w:r>
          </w:p>
        </w:tc>
        <w:tc>
          <w:tcPr>
            <w:tcW w:w="555" w:type="pct"/>
            <w:tcBorders>
              <w:top w:val="none" w:sz="0" w:space="0" w:color="auto"/>
              <w:bottom w:val="none" w:sz="0" w:space="0" w:color="auto"/>
            </w:tcBorders>
            <w:shd w:val="clear" w:color="auto" w:fill="EAF1DD" w:themeFill="accent3" w:themeFillTint="33"/>
            <w:noWrap/>
            <w:hideMark/>
          </w:tcPr>
          <w:p w14:paraId="06B55F11" w14:textId="77777777" w:rsidR="00F73311" w:rsidRPr="003266D8" w:rsidRDefault="00F73311" w:rsidP="003266D8">
            <w:pPr>
              <w:tabs>
                <w:tab w:val="decimal" w:pos="567"/>
              </w:tabs>
              <w:jc w:val="center"/>
              <w:cnfStyle w:val="000000100000" w:firstRow="0" w:lastRow="0" w:firstColumn="0" w:lastColumn="0" w:oddVBand="0" w:evenVBand="0" w:oddHBand="1" w:evenHBand="0" w:firstRowFirstColumn="0" w:firstRowLastColumn="0" w:lastRowFirstColumn="0" w:lastRowLastColumn="0"/>
              <w:rPr>
                <w:lang w:bidi="ar-SA"/>
              </w:rPr>
            </w:pPr>
            <w:r w:rsidRPr="003266D8">
              <w:rPr>
                <w:lang w:bidi="ar-SA"/>
              </w:rPr>
              <w:t>17</w:t>
            </w:r>
          </w:p>
        </w:tc>
      </w:tr>
      <w:tr w:rsidR="003266D8" w:rsidRPr="003266D8" w14:paraId="51400563" w14:textId="77777777" w:rsidTr="003266D8">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right w:val="none" w:sz="0" w:space="0" w:color="auto"/>
            </w:tcBorders>
            <w:shd w:val="clear" w:color="auto" w:fill="EAF1DD" w:themeFill="accent3" w:themeFillTint="33"/>
            <w:hideMark/>
          </w:tcPr>
          <w:p w14:paraId="3FEA8E76" w14:textId="77777777" w:rsidR="00F73311" w:rsidRPr="003266D8" w:rsidRDefault="00F73311" w:rsidP="003266D8">
            <w:pPr>
              <w:jc w:val="center"/>
              <w:rPr>
                <w:b w:val="0"/>
                <w:lang w:bidi="ar-SA"/>
              </w:rPr>
            </w:pPr>
          </w:p>
        </w:tc>
        <w:tc>
          <w:tcPr>
            <w:tcW w:w="549" w:type="pct"/>
            <w:shd w:val="clear" w:color="auto" w:fill="EAF1DD" w:themeFill="accent3" w:themeFillTint="33"/>
            <w:noWrap/>
            <w:hideMark/>
          </w:tcPr>
          <w:p w14:paraId="246815B8"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Male</w:t>
            </w:r>
          </w:p>
        </w:tc>
        <w:tc>
          <w:tcPr>
            <w:tcW w:w="867" w:type="pct"/>
            <w:shd w:val="clear" w:color="auto" w:fill="EAF1DD" w:themeFill="accent3" w:themeFillTint="33"/>
            <w:noWrap/>
            <w:hideMark/>
          </w:tcPr>
          <w:p w14:paraId="4815E6F2"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3.9</w:t>
            </w:r>
          </w:p>
        </w:tc>
        <w:tc>
          <w:tcPr>
            <w:tcW w:w="1006" w:type="pct"/>
            <w:shd w:val="clear" w:color="auto" w:fill="EAF1DD" w:themeFill="accent3" w:themeFillTint="33"/>
            <w:noWrap/>
            <w:hideMark/>
          </w:tcPr>
          <w:p w14:paraId="0B49A71C"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0.347</w:t>
            </w:r>
          </w:p>
        </w:tc>
        <w:tc>
          <w:tcPr>
            <w:tcW w:w="786" w:type="pct"/>
            <w:shd w:val="clear" w:color="auto" w:fill="EAF1DD" w:themeFill="accent3" w:themeFillTint="33"/>
            <w:noWrap/>
            <w:hideMark/>
          </w:tcPr>
          <w:p w14:paraId="239CA4CE"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0.229</w:t>
            </w:r>
          </w:p>
        </w:tc>
        <w:tc>
          <w:tcPr>
            <w:tcW w:w="682" w:type="pct"/>
            <w:shd w:val="clear" w:color="auto" w:fill="EAF1DD" w:themeFill="accent3" w:themeFillTint="33"/>
            <w:noWrap/>
            <w:hideMark/>
          </w:tcPr>
          <w:p w14:paraId="4B6B3F30" w14:textId="77777777" w:rsidR="00F73311" w:rsidRPr="003266D8"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0.576</w:t>
            </w:r>
          </w:p>
        </w:tc>
        <w:tc>
          <w:tcPr>
            <w:tcW w:w="555" w:type="pct"/>
            <w:shd w:val="clear" w:color="auto" w:fill="EAF1DD" w:themeFill="accent3" w:themeFillTint="33"/>
            <w:noWrap/>
            <w:hideMark/>
          </w:tcPr>
          <w:p w14:paraId="6C63F1CC" w14:textId="77777777" w:rsidR="00F73311" w:rsidRPr="003266D8" w:rsidRDefault="00F73311" w:rsidP="003266D8">
            <w:pPr>
              <w:tabs>
                <w:tab w:val="decimal" w:pos="567"/>
              </w:tabs>
              <w:jc w:val="center"/>
              <w:cnfStyle w:val="000000000000" w:firstRow="0" w:lastRow="0" w:firstColumn="0" w:lastColumn="0" w:oddVBand="0" w:evenVBand="0" w:oddHBand="0" w:evenHBand="0" w:firstRowFirstColumn="0" w:firstRowLastColumn="0" w:lastRowFirstColumn="0" w:lastRowLastColumn="0"/>
              <w:rPr>
                <w:lang w:bidi="ar-SA"/>
              </w:rPr>
            </w:pPr>
            <w:r w:rsidRPr="003266D8">
              <w:rPr>
                <w:lang w:bidi="ar-SA"/>
              </w:rPr>
              <w:t>19</w:t>
            </w:r>
          </w:p>
        </w:tc>
      </w:tr>
    </w:tbl>
    <w:p w14:paraId="201B7E8F" w14:textId="1DCE3B65" w:rsidR="00F73311" w:rsidRPr="00E9375F" w:rsidRDefault="00F73311" w:rsidP="00F73311">
      <w:pPr>
        <w:spacing w:before="120" w:after="120"/>
        <w:rPr>
          <w:sz w:val="18"/>
          <w:lang w:bidi="ar-SA"/>
        </w:rPr>
      </w:pPr>
      <w:r w:rsidRPr="00BF5218">
        <w:rPr>
          <w:sz w:val="18"/>
          <w:vertAlign w:val="superscript"/>
          <w:lang w:bidi="ar-SA"/>
        </w:rPr>
        <w:t>1</w:t>
      </w:r>
      <w:r w:rsidR="00511F2C" w:rsidRPr="00BF5218">
        <w:rPr>
          <w:sz w:val="18"/>
          <w:lang w:bidi="ar-SA"/>
        </w:rPr>
        <w:t xml:space="preserve"> One-day mean consumption, rounded to 1 decimal place, consumers only </w:t>
      </w:r>
    </w:p>
    <w:p w14:paraId="0CF65BE6" w14:textId="4530CFC8" w:rsidR="003266D8" w:rsidRDefault="00F73311" w:rsidP="00BF5218">
      <w:pPr>
        <w:spacing w:before="120" w:after="120"/>
        <w:rPr>
          <w:rFonts w:cs="Arial"/>
          <w:b/>
        </w:rPr>
      </w:pPr>
      <w:r w:rsidRPr="00BF5218">
        <w:rPr>
          <w:sz w:val="18"/>
          <w:vertAlign w:val="superscript"/>
          <w:lang w:bidi="ar-SA"/>
        </w:rPr>
        <w:t>2</w:t>
      </w:r>
      <w:r w:rsidR="00511F2C" w:rsidRPr="00BF5218">
        <w:rPr>
          <w:sz w:val="18"/>
          <w:lang w:bidi="ar-SA"/>
        </w:rPr>
        <w:t xml:space="preserve"> mean usual intakes for Australia (ABS 2015</w:t>
      </w:r>
      <w:r w:rsidR="00BF5218">
        <w:rPr>
          <w:sz w:val="18"/>
          <w:lang w:bidi="ar-SA"/>
        </w:rPr>
        <w:t>a</w:t>
      </w:r>
      <w:r w:rsidR="00511F2C" w:rsidRPr="00BF5218">
        <w:rPr>
          <w:sz w:val="18"/>
          <w:lang w:bidi="ar-SA"/>
        </w:rPr>
        <w:t xml:space="preserve">), best match age group used </w:t>
      </w:r>
      <w:r w:rsidR="00BF5218">
        <w:rPr>
          <w:sz w:val="18"/>
          <w:lang w:bidi="ar-SA"/>
        </w:rPr>
        <w:t>(Table 5)</w:t>
      </w:r>
      <w:bookmarkStart w:id="122" w:name="_Ref483838732"/>
      <w:bookmarkStart w:id="123" w:name="_Ref490570162"/>
      <w:r w:rsidR="003266D8">
        <w:br w:type="page"/>
      </w:r>
    </w:p>
    <w:p w14:paraId="194C4A39" w14:textId="3C082F5D" w:rsidR="003266D8" w:rsidRPr="003266D8" w:rsidRDefault="005D5D89" w:rsidP="00645494">
      <w:pPr>
        <w:pStyle w:val="FSTableTitle"/>
        <w:spacing w:after="240"/>
      </w:pPr>
      <w:r>
        <w:t>Table C</w:t>
      </w:r>
      <w:r w:rsidR="004B0630">
        <w:t>:</w:t>
      </w:r>
      <w:r w:rsidR="00F73311">
        <w:t xml:space="preserve"> </w:t>
      </w:r>
      <w:r w:rsidR="00F73311" w:rsidRPr="00C56A11">
        <w:t xml:space="preserve">Estimated dietary intakes of n-3 LC-PUFA for Australian population groups assuming that all canola and 30% of non-specified oil in the food supply will be replaced by </w:t>
      </w:r>
      <w:r w:rsidR="00F73311">
        <w:t>LFBLFK</w:t>
      </w:r>
      <w:r w:rsidR="00F73311" w:rsidRPr="00C56A11">
        <w:t xml:space="preserve"> canola oil (Scenario 2</w:t>
      </w:r>
      <w:bookmarkEnd w:id="122"/>
      <w:r w:rsidR="00F73311" w:rsidRPr="00C56A11">
        <w:t>)</w:t>
      </w:r>
      <w:bookmarkEnd w:id="123"/>
    </w:p>
    <w:tbl>
      <w:tblPr>
        <w:tblStyle w:val="ListTable3-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Estimated dietary intakes of n-3 LC-PUFA for Australian population groups assuming that all canola and 30% of non-specified oil in the food supply will be replaced by DHA canola oil (Scenario 2)"/>
        <w:tblDescription w:val="Table 4 Estimated dietary intakes of n-3 LC-PUFA for Australian population groups assuming that all canola and 30% of non-specified oil in the food supply will be replaced by DHA canola oil (Scenario 2)"/>
      </w:tblPr>
      <w:tblGrid>
        <w:gridCol w:w="1346"/>
        <w:gridCol w:w="1346"/>
        <w:gridCol w:w="2468"/>
        <w:gridCol w:w="3084"/>
        <w:gridCol w:w="2468"/>
        <w:gridCol w:w="1934"/>
        <w:gridCol w:w="1346"/>
      </w:tblGrid>
      <w:tr w:rsidR="008B49E2" w:rsidRPr="008B49E2" w14:paraId="0D34A0DE" w14:textId="77777777" w:rsidTr="00D26E0D">
        <w:trPr>
          <w:cnfStyle w:val="100000000000" w:firstRow="1" w:lastRow="0" w:firstColumn="0" w:lastColumn="0" w:oddVBand="0" w:evenVBand="0" w:oddHBand="0" w:evenHBand="0" w:firstRowFirstColumn="0" w:firstRowLastColumn="0" w:lastRowFirstColumn="0" w:lastRowLastColumn="0"/>
          <w:trHeight w:val="1214"/>
          <w:tblHeader/>
        </w:trPr>
        <w:tc>
          <w:tcPr>
            <w:cnfStyle w:val="001000000100" w:firstRow="0" w:lastRow="0" w:firstColumn="1" w:lastColumn="0" w:oddVBand="0" w:evenVBand="0" w:oddHBand="0" w:evenHBand="0" w:firstRowFirstColumn="1" w:firstRowLastColumn="0" w:lastRowFirstColumn="0" w:lastRowLastColumn="0"/>
            <w:tcW w:w="481" w:type="pct"/>
            <w:noWrap/>
            <w:hideMark/>
          </w:tcPr>
          <w:p w14:paraId="6088EB24" w14:textId="77777777" w:rsidR="00BA0F72" w:rsidRDefault="00F73311" w:rsidP="003266D8">
            <w:pPr>
              <w:jc w:val="center"/>
              <w:rPr>
                <w:color w:val="auto"/>
                <w:lang w:bidi="ar-SA"/>
              </w:rPr>
            </w:pPr>
            <w:r w:rsidRPr="008B49E2">
              <w:rPr>
                <w:color w:val="auto"/>
                <w:lang w:bidi="ar-SA"/>
              </w:rPr>
              <w:t>Age</w:t>
            </w:r>
            <w:r w:rsidR="00BA0F72">
              <w:rPr>
                <w:color w:val="auto"/>
                <w:lang w:bidi="ar-SA"/>
              </w:rPr>
              <w:t xml:space="preserve"> group</w:t>
            </w:r>
          </w:p>
          <w:p w14:paraId="2771A486" w14:textId="597CA8EB" w:rsidR="00F73311" w:rsidRPr="008B49E2" w:rsidRDefault="00BA0F72" w:rsidP="003266D8">
            <w:pPr>
              <w:jc w:val="center"/>
              <w:rPr>
                <w:color w:val="auto"/>
                <w:lang w:bidi="ar-SA"/>
              </w:rPr>
            </w:pPr>
            <w:r>
              <w:rPr>
                <w:color w:val="auto"/>
                <w:lang w:bidi="ar-SA"/>
              </w:rPr>
              <w:t>(years)</w:t>
            </w:r>
          </w:p>
        </w:tc>
        <w:tc>
          <w:tcPr>
            <w:tcW w:w="481" w:type="pct"/>
            <w:noWrap/>
            <w:hideMark/>
          </w:tcPr>
          <w:p w14:paraId="4DC177BB" w14:textId="77777777"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Sex</w:t>
            </w:r>
          </w:p>
        </w:tc>
        <w:tc>
          <w:tcPr>
            <w:tcW w:w="882" w:type="pct"/>
            <w:hideMark/>
          </w:tcPr>
          <w:p w14:paraId="121B0C9D" w14:textId="09D0AC13"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 xml:space="preserve">Mean canola oil+30% vegetable non-specified oil consumption </w:t>
            </w:r>
            <w:r w:rsidR="00BA0F72">
              <w:rPr>
                <w:color w:val="auto"/>
                <w:lang w:bidi="ar-SA"/>
              </w:rPr>
              <w:t>(</w:t>
            </w:r>
            <w:r w:rsidRPr="008B49E2">
              <w:rPr>
                <w:color w:val="auto"/>
                <w:lang w:bidi="ar-SA"/>
              </w:rPr>
              <w:t>g/day</w:t>
            </w:r>
            <w:r w:rsidR="00BA0F72">
              <w:rPr>
                <w:color w:val="auto"/>
                <w:lang w:bidi="ar-SA"/>
              </w:rPr>
              <w:t>)</w:t>
            </w:r>
            <w:r w:rsidRPr="008B49E2">
              <w:rPr>
                <w:color w:val="auto"/>
                <w:vertAlign w:val="superscript"/>
                <w:lang w:bidi="ar-SA"/>
              </w:rPr>
              <w:t>1</w:t>
            </w:r>
          </w:p>
        </w:tc>
        <w:tc>
          <w:tcPr>
            <w:tcW w:w="1102" w:type="pct"/>
            <w:hideMark/>
          </w:tcPr>
          <w:p w14:paraId="32BFA80C" w14:textId="25469D06"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Additional intake n</w:t>
            </w:r>
            <w:r w:rsidRPr="008B49E2">
              <w:rPr>
                <w:color w:val="auto"/>
                <w:lang w:bidi="ar-SA"/>
              </w:rPr>
              <w:noBreakHyphen/>
              <w:t xml:space="preserve">3 LC PUFA from </w:t>
            </w:r>
            <w:r w:rsidR="002F36D0">
              <w:rPr>
                <w:color w:val="auto"/>
                <w:lang w:bidi="ar-SA"/>
              </w:rPr>
              <w:t>LBFLFK</w:t>
            </w:r>
            <w:r w:rsidRPr="008B49E2">
              <w:rPr>
                <w:color w:val="auto"/>
                <w:lang w:bidi="ar-SA"/>
              </w:rPr>
              <w:t xml:space="preserve"> </w:t>
            </w:r>
            <w:r w:rsidR="00BA0F72">
              <w:rPr>
                <w:color w:val="auto"/>
                <w:lang w:bidi="ar-SA"/>
              </w:rPr>
              <w:t>(</w:t>
            </w:r>
            <w:r w:rsidRPr="008B49E2">
              <w:rPr>
                <w:color w:val="auto"/>
                <w:lang w:bidi="ar-SA"/>
              </w:rPr>
              <w:t>g/day</w:t>
            </w:r>
            <w:r w:rsidR="00BA0F72">
              <w:rPr>
                <w:color w:val="auto"/>
                <w:lang w:bidi="ar-SA"/>
              </w:rPr>
              <w:t>)</w:t>
            </w:r>
          </w:p>
        </w:tc>
        <w:tc>
          <w:tcPr>
            <w:tcW w:w="882" w:type="pct"/>
            <w:hideMark/>
          </w:tcPr>
          <w:p w14:paraId="7D9E92FF" w14:textId="023F4EC4"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Baseline mean intake n</w:t>
            </w:r>
            <w:r w:rsidRPr="008B49E2">
              <w:rPr>
                <w:color w:val="auto"/>
                <w:lang w:bidi="ar-SA"/>
              </w:rPr>
              <w:noBreakHyphen/>
              <w:t xml:space="preserve">3 LC PUFA </w:t>
            </w:r>
            <w:r w:rsidR="00BA0F72">
              <w:rPr>
                <w:color w:val="auto"/>
                <w:lang w:bidi="ar-SA"/>
              </w:rPr>
              <w:t>(</w:t>
            </w:r>
            <w:r w:rsidRPr="008B49E2">
              <w:rPr>
                <w:color w:val="auto"/>
                <w:lang w:bidi="ar-SA"/>
              </w:rPr>
              <w:t>g/day</w:t>
            </w:r>
            <w:r w:rsidR="00BA0F72">
              <w:rPr>
                <w:color w:val="auto"/>
                <w:lang w:bidi="ar-SA"/>
              </w:rPr>
              <w:t>)</w:t>
            </w:r>
            <w:r w:rsidRPr="008B49E2">
              <w:rPr>
                <w:color w:val="auto"/>
                <w:vertAlign w:val="superscript"/>
                <w:lang w:bidi="ar-SA"/>
              </w:rPr>
              <w:t>2</w:t>
            </w:r>
          </w:p>
        </w:tc>
        <w:tc>
          <w:tcPr>
            <w:tcW w:w="691" w:type="pct"/>
            <w:hideMark/>
          </w:tcPr>
          <w:p w14:paraId="477A3B25" w14:textId="2A3D2037" w:rsidR="00F73311" w:rsidRPr="008B49E2" w:rsidRDefault="00151225" w:rsidP="00BA0F72">
            <w:pPr>
              <w:jc w:val="center"/>
              <w:cnfStyle w:val="100000000000" w:firstRow="1" w:lastRow="0" w:firstColumn="0" w:lastColumn="0" w:oddVBand="0" w:evenVBand="0" w:oddHBand="0" w:evenHBand="0" w:firstRowFirstColumn="0" w:firstRowLastColumn="0" w:lastRowFirstColumn="0" w:lastRowLastColumn="0"/>
              <w:rPr>
                <w:color w:val="auto"/>
                <w:lang w:bidi="ar-SA"/>
              </w:rPr>
            </w:pPr>
            <w:r>
              <w:rPr>
                <w:color w:val="auto"/>
                <w:lang w:bidi="ar-SA"/>
              </w:rPr>
              <w:t>Predicted potential</w:t>
            </w:r>
            <w:r w:rsidRPr="008B49E2">
              <w:rPr>
                <w:color w:val="auto"/>
                <w:lang w:bidi="ar-SA"/>
              </w:rPr>
              <w:t xml:space="preserve"> </w:t>
            </w:r>
            <w:r w:rsidR="00F73311" w:rsidRPr="008B49E2">
              <w:rPr>
                <w:color w:val="auto"/>
                <w:lang w:bidi="ar-SA"/>
              </w:rPr>
              <w:t xml:space="preserve">n-3 LC-PUFA intake </w:t>
            </w:r>
            <w:r w:rsidR="00BA0F72">
              <w:rPr>
                <w:color w:val="auto"/>
                <w:lang w:bidi="ar-SA"/>
              </w:rPr>
              <w:t>(</w:t>
            </w:r>
            <w:r w:rsidR="00F73311" w:rsidRPr="008B49E2">
              <w:rPr>
                <w:color w:val="auto"/>
                <w:lang w:bidi="ar-SA"/>
              </w:rPr>
              <w:t>g/day</w:t>
            </w:r>
            <w:r w:rsidR="00BA0F72">
              <w:rPr>
                <w:color w:val="auto"/>
                <w:lang w:bidi="ar-SA"/>
              </w:rPr>
              <w:t>)</w:t>
            </w:r>
          </w:p>
        </w:tc>
        <w:tc>
          <w:tcPr>
            <w:tcW w:w="481" w:type="pct"/>
            <w:hideMark/>
          </w:tcPr>
          <w:p w14:paraId="373BD3AF" w14:textId="014164B7"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 xml:space="preserve">% of </w:t>
            </w:r>
            <w:r w:rsidR="003266D8" w:rsidRPr="008B49E2">
              <w:rPr>
                <w:color w:val="auto"/>
                <w:lang w:bidi="ar-SA"/>
              </w:rPr>
              <w:t>UL</w:t>
            </w:r>
          </w:p>
        </w:tc>
      </w:tr>
      <w:tr w:rsidR="00F73311" w:rsidRPr="007F0A79" w14:paraId="290D3456" w14:textId="77777777" w:rsidTr="008B49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1" w:type="pct"/>
            <w:vMerge w:val="restart"/>
            <w:tcBorders>
              <w:top w:val="none" w:sz="0" w:space="0" w:color="auto"/>
              <w:bottom w:val="none" w:sz="0" w:space="0" w:color="auto"/>
              <w:right w:val="none" w:sz="0" w:space="0" w:color="auto"/>
            </w:tcBorders>
            <w:noWrap/>
            <w:hideMark/>
          </w:tcPr>
          <w:p w14:paraId="370C1248" w14:textId="77777777" w:rsidR="00F73311" w:rsidRPr="008B49E2" w:rsidRDefault="00F73311" w:rsidP="003266D8">
            <w:pPr>
              <w:jc w:val="center"/>
              <w:rPr>
                <w:b w:val="0"/>
                <w:lang w:bidi="ar-SA"/>
              </w:rPr>
            </w:pPr>
            <w:r w:rsidRPr="008B49E2">
              <w:rPr>
                <w:b w:val="0"/>
                <w:lang w:bidi="ar-SA"/>
              </w:rPr>
              <w:t>2-3</w:t>
            </w:r>
          </w:p>
        </w:tc>
        <w:tc>
          <w:tcPr>
            <w:tcW w:w="481" w:type="pct"/>
            <w:tcBorders>
              <w:top w:val="none" w:sz="0" w:space="0" w:color="auto"/>
              <w:bottom w:val="none" w:sz="0" w:space="0" w:color="auto"/>
            </w:tcBorders>
            <w:noWrap/>
            <w:hideMark/>
          </w:tcPr>
          <w:p w14:paraId="65261F62"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82" w:type="pct"/>
            <w:tcBorders>
              <w:top w:val="none" w:sz="0" w:space="0" w:color="auto"/>
              <w:bottom w:val="none" w:sz="0" w:space="0" w:color="auto"/>
            </w:tcBorders>
            <w:noWrap/>
            <w:hideMark/>
          </w:tcPr>
          <w:p w14:paraId="028EDA8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4.2</w:t>
            </w:r>
          </w:p>
        </w:tc>
        <w:tc>
          <w:tcPr>
            <w:tcW w:w="1102" w:type="pct"/>
            <w:tcBorders>
              <w:top w:val="none" w:sz="0" w:space="0" w:color="auto"/>
              <w:bottom w:val="none" w:sz="0" w:space="0" w:color="auto"/>
            </w:tcBorders>
            <w:noWrap/>
            <w:hideMark/>
          </w:tcPr>
          <w:p w14:paraId="3D62446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0.371</w:t>
            </w:r>
          </w:p>
        </w:tc>
        <w:tc>
          <w:tcPr>
            <w:tcW w:w="882" w:type="pct"/>
            <w:tcBorders>
              <w:top w:val="none" w:sz="0" w:space="0" w:color="auto"/>
              <w:bottom w:val="none" w:sz="0" w:space="0" w:color="auto"/>
            </w:tcBorders>
            <w:noWrap/>
            <w:hideMark/>
          </w:tcPr>
          <w:p w14:paraId="7DE7420A"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0.092</w:t>
            </w:r>
          </w:p>
        </w:tc>
        <w:tc>
          <w:tcPr>
            <w:tcW w:w="691" w:type="pct"/>
            <w:tcBorders>
              <w:top w:val="none" w:sz="0" w:space="0" w:color="auto"/>
              <w:bottom w:val="none" w:sz="0" w:space="0" w:color="auto"/>
            </w:tcBorders>
            <w:noWrap/>
            <w:hideMark/>
          </w:tcPr>
          <w:p w14:paraId="2BDD7EEF"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0.463</w:t>
            </w:r>
          </w:p>
        </w:tc>
        <w:tc>
          <w:tcPr>
            <w:tcW w:w="481" w:type="pct"/>
            <w:tcBorders>
              <w:top w:val="none" w:sz="0" w:space="0" w:color="auto"/>
              <w:bottom w:val="none" w:sz="0" w:space="0" w:color="auto"/>
            </w:tcBorders>
            <w:noWrap/>
            <w:hideMark/>
          </w:tcPr>
          <w:p w14:paraId="6B5B4FB1"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15</w:t>
            </w:r>
          </w:p>
        </w:tc>
      </w:tr>
      <w:tr w:rsidR="00F73311" w:rsidRPr="007F0A79" w14:paraId="1A9BB62A" w14:textId="77777777" w:rsidTr="008B49E2">
        <w:trPr>
          <w:trHeight w:val="290"/>
        </w:trPr>
        <w:tc>
          <w:tcPr>
            <w:cnfStyle w:val="001000000000" w:firstRow="0" w:lastRow="0" w:firstColumn="1" w:lastColumn="0" w:oddVBand="0" w:evenVBand="0" w:oddHBand="0" w:evenHBand="0" w:firstRowFirstColumn="0" w:firstRowLastColumn="0" w:lastRowFirstColumn="0" w:lastRowLastColumn="0"/>
            <w:tcW w:w="481" w:type="pct"/>
            <w:vMerge/>
            <w:tcBorders>
              <w:right w:val="none" w:sz="0" w:space="0" w:color="auto"/>
            </w:tcBorders>
            <w:hideMark/>
          </w:tcPr>
          <w:p w14:paraId="7A9D849B" w14:textId="77777777" w:rsidR="00F73311" w:rsidRPr="008B49E2" w:rsidRDefault="00F73311" w:rsidP="003266D8">
            <w:pPr>
              <w:jc w:val="center"/>
              <w:rPr>
                <w:b w:val="0"/>
                <w:lang w:bidi="ar-SA"/>
              </w:rPr>
            </w:pPr>
          </w:p>
        </w:tc>
        <w:tc>
          <w:tcPr>
            <w:tcW w:w="481" w:type="pct"/>
            <w:noWrap/>
            <w:hideMark/>
          </w:tcPr>
          <w:p w14:paraId="07F5257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82" w:type="pct"/>
            <w:noWrap/>
            <w:hideMark/>
          </w:tcPr>
          <w:p w14:paraId="62AA590F"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3.8</w:t>
            </w:r>
          </w:p>
        </w:tc>
        <w:tc>
          <w:tcPr>
            <w:tcW w:w="1102" w:type="pct"/>
            <w:noWrap/>
            <w:hideMark/>
          </w:tcPr>
          <w:p w14:paraId="3C277BB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0.334</w:t>
            </w:r>
          </w:p>
        </w:tc>
        <w:tc>
          <w:tcPr>
            <w:tcW w:w="882" w:type="pct"/>
            <w:noWrap/>
            <w:hideMark/>
          </w:tcPr>
          <w:p w14:paraId="51C16768"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0.096</w:t>
            </w:r>
          </w:p>
        </w:tc>
        <w:tc>
          <w:tcPr>
            <w:tcW w:w="691" w:type="pct"/>
            <w:noWrap/>
            <w:hideMark/>
          </w:tcPr>
          <w:p w14:paraId="03A8D168"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0.430</w:t>
            </w:r>
          </w:p>
        </w:tc>
        <w:tc>
          <w:tcPr>
            <w:tcW w:w="481" w:type="pct"/>
            <w:noWrap/>
            <w:hideMark/>
          </w:tcPr>
          <w:p w14:paraId="7E764756"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14</w:t>
            </w:r>
          </w:p>
        </w:tc>
      </w:tr>
      <w:tr w:rsidR="00F73311" w:rsidRPr="007F0A79" w14:paraId="5C457924" w14:textId="77777777" w:rsidTr="008B49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1" w:type="pct"/>
            <w:vMerge w:val="restart"/>
            <w:tcBorders>
              <w:top w:val="none" w:sz="0" w:space="0" w:color="auto"/>
              <w:bottom w:val="none" w:sz="0" w:space="0" w:color="auto"/>
              <w:right w:val="none" w:sz="0" w:space="0" w:color="auto"/>
            </w:tcBorders>
            <w:shd w:val="clear" w:color="auto" w:fill="EAF1DD" w:themeFill="accent3" w:themeFillTint="33"/>
            <w:noWrap/>
            <w:hideMark/>
          </w:tcPr>
          <w:p w14:paraId="62A82FEA" w14:textId="77777777" w:rsidR="00F73311" w:rsidRPr="008B49E2" w:rsidRDefault="00F73311" w:rsidP="003266D8">
            <w:pPr>
              <w:jc w:val="center"/>
              <w:rPr>
                <w:b w:val="0"/>
                <w:lang w:bidi="ar-SA"/>
              </w:rPr>
            </w:pPr>
            <w:r w:rsidRPr="008B49E2">
              <w:rPr>
                <w:b w:val="0"/>
                <w:lang w:bidi="ar-SA"/>
              </w:rPr>
              <w:t>4-8</w:t>
            </w:r>
          </w:p>
        </w:tc>
        <w:tc>
          <w:tcPr>
            <w:tcW w:w="481" w:type="pct"/>
            <w:tcBorders>
              <w:top w:val="none" w:sz="0" w:space="0" w:color="auto"/>
              <w:bottom w:val="none" w:sz="0" w:space="0" w:color="auto"/>
            </w:tcBorders>
            <w:shd w:val="clear" w:color="auto" w:fill="EAF1DD" w:themeFill="accent3" w:themeFillTint="33"/>
            <w:noWrap/>
            <w:hideMark/>
          </w:tcPr>
          <w:p w14:paraId="694308DC"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82" w:type="pct"/>
            <w:tcBorders>
              <w:top w:val="none" w:sz="0" w:space="0" w:color="auto"/>
              <w:bottom w:val="none" w:sz="0" w:space="0" w:color="auto"/>
            </w:tcBorders>
            <w:shd w:val="clear" w:color="auto" w:fill="EAF1DD" w:themeFill="accent3" w:themeFillTint="33"/>
            <w:noWrap/>
            <w:hideMark/>
          </w:tcPr>
          <w:p w14:paraId="4BB7CC7E"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5.4</w:t>
            </w:r>
          </w:p>
        </w:tc>
        <w:tc>
          <w:tcPr>
            <w:tcW w:w="1102" w:type="pct"/>
            <w:tcBorders>
              <w:top w:val="none" w:sz="0" w:space="0" w:color="auto"/>
              <w:bottom w:val="none" w:sz="0" w:space="0" w:color="auto"/>
            </w:tcBorders>
            <w:shd w:val="clear" w:color="auto" w:fill="EAF1DD" w:themeFill="accent3" w:themeFillTint="33"/>
            <w:noWrap/>
            <w:hideMark/>
          </w:tcPr>
          <w:p w14:paraId="652CDF2E"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0.477</w:t>
            </w:r>
          </w:p>
        </w:tc>
        <w:tc>
          <w:tcPr>
            <w:tcW w:w="882" w:type="pct"/>
            <w:tcBorders>
              <w:top w:val="none" w:sz="0" w:space="0" w:color="auto"/>
              <w:bottom w:val="none" w:sz="0" w:space="0" w:color="auto"/>
            </w:tcBorders>
            <w:shd w:val="clear" w:color="auto" w:fill="EAF1DD" w:themeFill="accent3" w:themeFillTint="33"/>
            <w:noWrap/>
            <w:hideMark/>
          </w:tcPr>
          <w:p w14:paraId="057AC6A6"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0.098</w:t>
            </w:r>
          </w:p>
        </w:tc>
        <w:tc>
          <w:tcPr>
            <w:tcW w:w="691" w:type="pct"/>
            <w:tcBorders>
              <w:top w:val="none" w:sz="0" w:space="0" w:color="auto"/>
              <w:bottom w:val="none" w:sz="0" w:space="0" w:color="auto"/>
            </w:tcBorders>
            <w:shd w:val="clear" w:color="auto" w:fill="EAF1DD" w:themeFill="accent3" w:themeFillTint="33"/>
            <w:noWrap/>
            <w:hideMark/>
          </w:tcPr>
          <w:p w14:paraId="5223871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0.575</w:t>
            </w:r>
          </w:p>
        </w:tc>
        <w:tc>
          <w:tcPr>
            <w:tcW w:w="481" w:type="pct"/>
            <w:tcBorders>
              <w:top w:val="none" w:sz="0" w:space="0" w:color="auto"/>
              <w:bottom w:val="none" w:sz="0" w:space="0" w:color="auto"/>
            </w:tcBorders>
            <w:shd w:val="clear" w:color="auto" w:fill="EAF1DD" w:themeFill="accent3" w:themeFillTint="33"/>
            <w:noWrap/>
            <w:hideMark/>
          </w:tcPr>
          <w:p w14:paraId="3802BE26"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19</w:t>
            </w:r>
          </w:p>
        </w:tc>
      </w:tr>
      <w:tr w:rsidR="00F73311" w:rsidRPr="007F0A79" w14:paraId="2674FD02" w14:textId="77777777" w:rsidTr="008B49E2">
        <w:trPr>
          <w:trHeight w:val="290"/>
        </w:trPr>
        <w:tc>
          <w:tcPr>
            <w:cnfStyle w:val="001000000000" w:firstRow="0" w:lastRow="0" w:firstColumn="1" w:lastColumn="0" w:oddVBand="0" w:evenVBand="0" w:oddHBand="0" w:evenHBand="0" w:firstRowFirstColumn="0" w:firstRowLastColumn="0" w:lastRowFirstColumn="0" w:lastRowLastColumn="0"/>
            <w:tcW w:w="481" w:type="pct"/>
            <w:vMerge/>
            <w:tcBorders>
              <w:right w:val="none" w:sz="0" w:space="0" w:color="auto"/>
            </w:tcBorders>
            <w:shd w:val="clear" w:color="auto" w:fill="EAF1DD" w:themeFill="accent3" w:themeFillTint="33"/>
            <w:hideMark/>
          </w:tcPr>
          <w:p w14:paraId="704542E6" w14:textId="77777777" w:rsidR="00F73311" w:rsidRPr="008B49E2" w:rsidRDefault="00F73311" w:rsidP="003266D8">
            <w:pPr>
              <w:jc w:val="center"/>
              <w:rPr>
                <w:b w:val="0"/>
                <w:lang w:bidi="ar-SA"/>
              </w:rPr>
            </w:pPr>
          </w:p>
        </w:tc>
        <w:tc>
          <w:tcPr>
            <w:tcW w:w="481" w:type="pct"/>
            <w:shd w:val="clear" w:color="auto" w:fill="EAF1DD" w:themeFill="accent3" w:themeFillTint="33"/>
            <w:noWrap/>
            <w:hideMark/>
          </w:tcPr>
          <w:p w14:paraId="2C24762E"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82" w:type="pct"/>
            <w:shd w:val="clear" w:color="auto" w:fill="EAF1DD" w:themeFill="accent3" w:themeFillTint="33"/>
            <w:noWrap/>
            <w:hideMark/>
          </w:tcPr>
          <w:p w14:paraId="0DD689AC"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5.6</w:t>
            </w:r>
          </w:p>
        </w:tc>
        <w:tc>
          <w:tcPr>
            <w:tcW w:w="1102" w:type="pct"/>
            <w:shd w:val="clear" w:color="auto" w:fill="EAF1DD" w:themeFill="accent3" w:themeFillTint="33"/>
            <w:noWrap/>
            <w:hideMark/>
          </w:tcPr>
          <w:p w14:paraId="7A6C3F7B"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0.491</w:t>
            </w:r>
          </w:p>
        </w:tc>
        <w:tc>
          <w:tcPr>
            <w:tcW w:w="882" w:type="pct"/>
            <w:shd w:val="clear" w:color="auto" w:fill="EAF1DD" w:themeFill="accent3" w:themeFillTint="33"/>
            <w:noWrap/>
            <w:hideMark/>
          </w:tcPr>
          <w:p w14:paraId="25CC542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0.103</w:t>
            </w:r>
          </w:p>
        </w:tc>
        <w:tc>
          <w:tcPr>
            <w:tcW w:w="691" w:type="pct"/>
            <w:shd w:val="clear" w:color="auto" w:fill="EAF1DD" w:themeFill="accent3" w:themeFillTint="33"/>
            <w:noWrap/>
            <w:hideMark/>
          </w:tcPr>
          <w:p w14:paraId="2AC47F55"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0.594</w:t>
            </w:r>
          </w:p>
        </w:tc>
        <w:tc>
          <w:tcPr>
            <w:tcW w:w="481" w:type="pct"/>
            <w:shd w:val="clear" w:color="auto" w:fill="EAF1DD" w:themeFill="accent3" w:themeFillTint="33"/>
            <w:noWrap/>
            <w:hideMark/>
          </w:tcPr>
          <w:p w14:paraId="4F55B7B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20</w:t>
            </w:r>
          </w:p>
        </w:tc>
      </w:tr>
      <w:tr w:rsidR="00F73311" w:rsidRPr="007F0A79" w14:paraId="4CCFF206" w14:textId="77777777" w:rsidTr="008B49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1" w:type="pct"/>
            <w:vMerge w:val="restart"/>
            <w:tcBorders>
              <w:top w:val="none" w:sz="0" w:space="0" w:color="auto"/>
              <w:bottom w:val="none" w:sz="0" w:space="0" w:color="auto"/>
              <w:right w:val="none" w:sz="0" w:space="0" w:color="auto"/>
            </w:tcBorders>
            <w:noWrap/>
            <w:hideMark/>
          </w:tcPr>
          <w:p w14:paraId="711B0B4B" w14:textId="77777777" w:rsidR="00F73311" w:rsidRPr="008B49E2" w:rsidRDefault="00F73311" w:rsidP="003266D8">
            <w:pPr>
              <w:jc w:val="center"/>
              <w:rPr>
                <w:b w:val="0"/>
                <w:lang w:bidi="ar-SA"/>
              </w:rPr>
            </w:pPr>
            <w:r w:rsidRPr="008B49E2">
              <w:rPr>
                <w:b w:val="0"/>
                <w:lang w:bidi="ar-SA"/>
              </w:rPr>
              <w:t>9-13</w:t>
            </w:r>
          </w:p>
        </w:tc>
        <w:tc>
          <w:tcPr>
            <w:tcW w:w="481" w:type="pct"/>
            <w:tcBorders>
              <w:top w:val="none" w:sz="0" w:space="0" w:color="auto"/>
              <w:bottom w:val="none" w:sz="0" w:space="0" w:color="auto"/>
            </w:tcBorders>
            <w:noWrap/>
            <w:hideMark/>
          </w:tcPr>
          <w:p w14:paraId="358D26B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82" w:type="pct"/>
            <w:tcBorders>
              <w:top w:val="none" w:sz="0" w:space="0" w:color="auto"/>
              <w:bottom w:val="none" w:sz="0" w:space="0" w:color="auto"/>
            </w:tcBorders>
            <w:noWrap/>
            <w:hideMark/>
          </w:tcPr>
          <w:p w14:paraId="03133F0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7.2</w:t>
            </w:r>
          </w:p>
        </w:tc>
        <w:tc>
          <w:tcPr>
            <w:tcW w:w="1102" w:type="pct"/>
            <w:tcBorders>
              <w:top w:val="none" w:sz="0" w:space="0" w:color="auto"/>
              <w:bottom w:val="none" w:sz="0" w:space="0" w:color="auto"/>
            </w:tcBorders>
            <w:noWrap/>
            <w:hideMark/>
          </w:tcPr>
          <w:p w14:paraId="1465D5C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0.631</w:t>
            </w:r>
          </w:p>
        </w:tc>
        <w:tc>
          <w:tcPr>
            <w:tcW w:w="882" w:type="pct"/>
            <w:tcBorders>
              <w:top w:val="none" w:sz="0" w:space="0" w:color="auto"/>
              <w:bottom w:val="none" w:sz="0" w:space="0" w:color="auto"/>
            </w:tcBorders>
            <w:noWrap/>
            <w:hideMark/>
          </w:tcPr>
          <w:p w14:paraId="21C5D0F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0.162</w:t>
            </w:r>
          </w:p>
        </w:tc>
        <w:tc>
          <w:tcPr>
            <w:tcW w:w="691" w:type="pct"/>
            <w:tcBorders>
              <w:top w:val="none" w:sz="0" w:space="0" w:color="auto"/>
              <w:bottom w:val="none" w:sz="0" w:space="0" w:color="auto"/>
            </w:tcBorders>
            <w:noWrap/>
            <w:hideMark/>
          </w:tcPr>
          <w:p w14:paraId="3CED5BC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0.793</w:t>
            </w:r>
          </w:p>
        </w:tc>
        <w:tc>
          <w:tcPr>
            <w:tcW w:w="481" w:type="pct"/>
            <w:tcBorders>
              <w:top w:val="none" w:sz="0" w:space="0" w:color="auto"/>
              <w:bottom w:val="none" w:sz="0" w:space="0" w:color="auto"/>
            </w:tcBorders>
            <w:noWrap/>
            <w:hideMark/>
          </w:tcPr>
          <w:p w14:paraId="78E6E444"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26</w:t>
            </w:r>
          </w:p>
        </w:tc>
      </w:tr>
      <w:tr w:rsidR="00F73311" w:rsidRPr="007F0A79" w14:paraId="5D471233" w14:textId="77777777" w:rsidTr="008B49E2">
        <w:trPr>
          <w:trHeight w:val="290"/>
        </w:trPr>
        <w:tc>
          <w:tcPr>
            <w:cnfStyle w:val="001000000000" w:firstRow="0" w:lastRow="0" w:firstColumn="1" w:lastColumn="0" w:oddVBand="0" w:evenVBand="0" w:oddHBand="0" w:evenHBand="0" w:firstRowFirstColumn="0" w:firstRowLastColumn="0" w:lastRowFirstColumn="0" w:lastRowLastColumn="0"/>
            <w:tcW w:w="481" w:type="pct"/>
            <w:vMerge/>
            <w:tcBorders>
              <w:right w:val="none" w:sz="0" w:space="0" w:color="auto"/>
            </w:tcBorders>
            <w:hideMark/>
          </w:tcPr>
          <w:p w14:paraId="6084AA9E" w14:textId="77777777" w:rsidR="00F73311" w:rsidRPr="008B49E2" w:rsidRDefault="00F73311" w:rsidP="003266D8">
            <w:pPr>
              <w:jc w:val="center"/>
              <w:rPr>
                <w:b w:val="0"/>
                <w:lang w:bidi="ar-SA"/>
              </w:rPr>
            </w:pPr>
          </w:p>
        </w:tc>
        <w:tc>
          <w:tcPr>
            <w:tcW w:w="481" w:type="pct"/>
            <w:noWrap/>
            <w:hideMark/>
          </w:tcPr>
          <w:p w14:paraId="5C925274"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82" w:type="pct"/>
            <w:noWrap/>
            <w:hideMark/>
          </w:tcPr>
          <w:p w14:paraId="74720AEC"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8.1</w:t>
            </w:r>
          </w:p>
        </w:tc>
        <w:tc>
          <w:tcPr>
            <w:tcW w:w="1102" w:type="pct"/>
            <w:noWrap/>
            <w:hideMark/>
          </w:tcPr>
          <w:p w14:paraId="5619F75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0.712</w:t>
            </w:r>
          </w:p>
        </w:tc>
        <w:tc>
          <w:tcPr>
            <w:tcW w:w="882" w:type="pct"/>
            <w:noWrap/>
            <w:hideMark/>
          </w:tcPr>
          <w:p w14:paraId="3D31DABB"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0.176</w:t>
            </w:r>
          </w:p>
        </w:tc>
        <w:tc>
          <w:tcPr>
            <w:tcW w:w="691" w:type="pct"/>
            <w:noWrap/>
            <w:hideMark/>
          </w:tcPr>
          <w:p w14:paraId="3CA11EE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0.888</w:t>
            </w:r>
          </w:p>
        </w:tc>
        <w:tc>
          <w:tcPr>
            <w:tcW w:w="481" w:type="pct"/>
            <w:noWrap/>
            <w:hideMark/>
          </w:tcPr>
          <w:p w14:paraId="0C2AB3F9"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30</w:t>
            </w:r>
          </w:p>
        </w:tc>
      </w:tr>
      <w:tr w:rsidR="00F73311" w:rsidRPr="007F0A79" w14:paraId="02421EDE" w14:textId="77777777" w:rsidTr="008B49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1" w:type="pct"/>
            <w:vMerge w:val="restart"/>
            <w:tcBorders>
              <w:top w:val="none" w:sz="0" w:space="0" w:color="auto"/>
              <w:bottom w:val="none" w:sz="0" w:space="0" w:color="auto"/>
              <w:right w:val="none" w:sz="0" w:space="0" w:color="auto"/>
            </w:tcBorders>
            <w:shd w:val="clear" w:color="auto" w:fill="EAF1DD" w:themeFill="accent3" w:themeFillTint="33"/>
            <w:noWrap/>
            <w:hideMark/>
          </w:tcPr>
          <w:p w14:paraId="0A9217F4" w14:textId="77777777" w:rsidR="00F73311" w:rsidRPr="008B49E2" w:rsidRDefault="00F73311" w:rsidP="003266D8">
            <w:pPr>
              <w:jc w:val="center"/>
              <w:rPr>
                <w:b w:val="0"/>
                <w:lang w:bidi="ar-SA"/>
              </w:rPr>
            </w:pPr>
            <w:r w:rsidRPr="008B49E2">
              <w:rPr>
                <w:b w:val="0"/>
                <w:lang w:bidi="ar-SA"/>
              </w:rPr>
              <w:t>14-18</w:t>
            </w:r>
          </w:p>
        </w:tc>
        <w:tc>
          <w:tcPr>
            <w:tcW w:w="481" w:type="pct"/>
            <w:tcBorders>
              <w:top w:val="none" w:sz="0" w:space="0" w:color="auto"/>
              <w:bottom w:val="none" w:sz="0" w:space="0" w:color="auto"/>
            </w:tcBorders>
            <w:shd w:val="clear" w:color="auto" w:fill="EAF1DD" w:themeFill="accent3" w:themeFillTint="33"/>
            <w:noWrap/>
            <w:hideMark/>
          </w:tcPr>
          <w:p w14:paraId="21ADB4EC"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82" w:type="pct"/>
            <w:tcBorders>
              <w:top w:val="none" w:sz="0" w:space="0" w:color="auto"/>
              <w:bottom w:val="none" w:sz="0" w:space="0" w:color="auto"/>
            </w:tcBorders>
            <w:shd w:val="clear" w:color="auto" w:fill="EAF1DD" w:themeFill="accent3" w:themeFillTint="33"/>
            <w:noWrap/>
            <w:hideMark/>
          </w:tcPr>
          <w:p w14:paraId="20028DF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7.3</w:t>
            </w:r>
          </w:p>
        </w:tc>
        <w:tc>
          <w:tcPr>
            <w:tcW w:w="1102" w:type="pct"/>
            <w:tcBorders>
              <w:top w:val="none" w:sz="0" w:space="0" w:color="auto"/>
              <w:bottom w:val="none" w:sz="0" w:space="0" w:color="auto"/>
            </w:tcBorders>
            <w:shd w:val="clear" w:color="auto" w:fill="EAF1DD" w:themeFill="accent3" w:themeFillTint="33"/>
            <w:noWrap/>
            <w:hideMark/>
          </w:tcPr>
          <w:p w14:paraId="1D0BFF9D"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0.640</w:t>
            </w:r>
          </w:p>
        </w:tc>
        <w:tc>
          <w:tcPr>
            <w:tcW w:w="882" w:type="pct"/>
            <w:tcBorders>
              <w:top w:val="none" w:sz="0" w:space="0" w:color="auto"/>
              <w:bottom w:val="none" w:sz="0" w:space="0" w:color="auto"/>
            </w:tcBorders>
            <w:shd w:val="clear" w:color="auto" w:fill="EAF1DD" w:themeFill="accent3" w:themeFillTint="33"/>
            <w:noWrap/>
            <w:hideMark/>
          </w:tcPr>
          <w:p w14:paraId="7059F23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0.179</w:t>
            </w:r>
          </w:p>
        </w:tc>
        <w:tc>
          <w:tcPr>
            <w:tcW w:w="691" w:type="pct"/>
            <w:tcBorders>
              <w:top w:val="none" w:sz="0" w:space="0" w:color="auto"/>
              <w:bottom w:val="none" w:sz="0" w:space="0" w:color="auto"/>
            </w:tcBorders>
            <w:shd w:val="clear" w:color="auto" w:fill="EAF1DD" w:themeFill="accent3" w:themeFillTint="33"/>
            <w:noWrap/>
            <w:hideMark/>
          </w:tcPr>
          <w:p w14:paraId="45AD1891"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0.819</w:t>
            </w:r>
          </w:p>
        </w:tc>
        <w:tc>
          <w:tcPr>
            <w:tcW w:w="481" w:type="pct"/>
            <w:tcBorders>
              <w:top w:val="none" w:sz="0" w:space="0" w:color="auto"/>
              <w:bottom w:val="none" w:sz="0" w:space="0" w:color="auto"/>
            </w:tcBorders>
            <w:shd w:val="clear" w:color="auto" w:fill="EAF1DD" w:themeFill="accent3" w:themeFillTint="33"/>
            <w:noWrap/>
            <w:hideMark/>
          </w:tcPr>
          <w:p w14:paraId="1C9459B4"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27</w:t>
            </w:r>
          </w:p>
        </w:tc>
      </w:tr>
      <w:tr w:rsidR="00F73311" w:rsidRPr="007F0A79" w14:paraId="3A60E13B" w14:textId="77777777" w:rsidTr="008B49E2">
        <w:trPr>
          <w:trHeight w:val="290"/>
        </w:trPr>
        <w:tc>
          <w:tcPr>
            <w:cnfStyle w:val="001000000000" w:firstRow="0" w:lastRow="0" w:firstColumn="1" w:lastColumn="0" w:oddVBand="0" w:evenVBand="0" w:oddHBand="0" w:evenHBand="0" w:firstRowFirstColumn="0" w:firstRowLastColumn="0" w:lastRowFirstColumn="0" w:lastRowLastColumn="0"/>
            <w:tcW w:w="481" w:type="pct"/>
            <w:vMerge/>
            <w:tcBorders>
              <w:right w:val="none" w:sz="0" w:space="0" w:color="auto"/>
            </w:tcBorders>
            <w:shd w:val="clear" w:color="auto" w:fill="EAF1DD" w:themeFill="accent3" w:themeFillTint="33"/>
            <w:hideMark/>
          </w:tcPr>
          <w:p w14:paraId="3DA6E146" w14:textId="77777777" w:rsidR="00F73311" w:rsidRPr="008B49E2" w:rsidRDefault="00F73311" w:rsidP="003266D8">
            <w:pPr>
              <w:jc w:val="center"/>
              <w:rPr>
                <w:b w:val="0"/>
                <w:lang w:bidi="ar-SA"/>
              </w:rPr>
            </w:pPr>
          </w:p>
        </w:tc>
        <w:tc>
          <w:tcPr>
            <w:tcW w:w="481" w:type="pct"/>
            <w:shd w:val="clear" w:color="auto" w:fill="EAF1DD" w:themeFill="accent3" w:themeFillTint="33"/>
            <w:noWrap/>
            <w:hideMark/>
          </w:tcPr>
          <w:p w14:paraId="461CFDDE"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82" w:type="pct"/>
            <w:shd w:val="clear" w:color="auto" w:fill="EAF1DD" w:themeFill="accent3" w:themeFillTint="33"/>
            <w:noWrap/>
            <w:hideMark/>
          </w:tcPr>
          <w:p w14:paraId="61440A68"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9.9</w:t>
            </w:r>
          </w:p>
        </w:tc>
        <w:tc>
          <w:tcPr>
            <w:tcW w:w="1102" w:type="pct"/>
            <w:shd w:val="clear" w:color="auto" w:fill="EAF1DD" w:themeFill="accent3" w:themeFillTint="33"/>
            <w:noWrap/>
            <w:hideMark/>
          </w:tcPr>
          <w:p w14:paraId="0A50330B"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0.868</w:t>
            </w:r>
          </w:p>
        </w:tc>
        <w:tc>
          <w:tcPr>
            <w:tcW w:w="882" w:type="pct"/>
            <w:shd w:val="clear" w:color="auto" w:fill="EAF1DD" w:themeFill="accent3" w:themeFillTint="33"/>
            <w:noWrap/>
            <w:hideMark/>
          </w:tcPr>
          <w:p w14:paraId="41C2D8C1"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0.206</w:t>
            </w:r>
          </w:p>
        </w:tc>
        <w:tc>
          <w:tcPr>
            <w:tcW w:w="691" w:type="pct"/>
            <w:shd w:val="clear" w:color="auto" w:fill="EAF1DD" w:themeFill="accent3" w:themeFillTint="33"/>
            <w:noWrap/>
            <w:hideMark/>
          </w:tcPr>
          <w:p w14:paraId="6B0240F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1.074</w:t>
            </w:r>
          </w:p>
        </w:tc>
        <w:tc>
          <w:tcPr>
            <w:tcW w:w="481" w:type="pct"/>
            <w:shd w:val="clear" w:color="auto" w:fill="EAF1DD" w:themeFill="accent3" w:themeFillTint="33"/>
            <w:noWrap/>
            <w:hideMark/>
          </w:tcPr>
          <w:p w14:paraId="50828624"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36</w:t>
            </w:r>
          </w:p>
        </w:tc>
      </w:tr>
      <w:tr w:rsidR="00F73311" w:rsidRPr="007F0A79" w14:paraId="6A495408" w14:textId="77777777" w:rsidTr="008B49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1" w:type="pct"/>
            <w:vMerge w:val="restart"/>
            <w:tcBorders>
              <w:top w:val="none" w:sz="0" w:space="0" w:color="auto"/>
              <w:bottom w:val="none" w:sz="0" w:space="0" w:color="auto"/>
              <w:right w:val="none" w:sz="0" w:space="0" w:color="auto"/>
            </w:tcBorders>
            <w:noWrap/>
            <w:hideMark/>
          </w:tcPr>
          <w:p w14:paraId="31AD5938" w14:textId="77777777" w:rsidR="00F73311" w:rsidRPr="008B49E2" w:rsidRDefault="00F73311" w:rsidP="003266D8">
            <w:pPr>
              <w:jc w:val="center"/>
              <w:rPr>
                <w:b w:val="0"/>
                <w:lang w:bidi="ar-SA"/>
              </w:rPr>
            </w:pPr>
            <w:r w:rsidRPr="008B49E2">
              <w:rPr>
                <w:b w:val="0"/>
                <w:lang w:bidi="ar-SA"/>
              </w:rPr>
              <w:t>19-30</w:t>
            </w:r>
          </w:p>
        </w:tc>
        <w:tc>
          <w:tcPr>
            <w:tcW w:w="481" w:type="pct"/>
            <w:tcBorders>
              <w:top w:val="none" w:sz="0" w:space="0" w:color="auto"/>
              <w:bottom w:val="none" w:sz="0" w:space="0" w:color="auto"/>
            </w:tcBorders>
            <w:noWrap/>
            <w:hideMark/>
          </w:tcPr>
          <w:p w14:paraId="62448971"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82" w:type="pct"/>
            <w:tcBorders>
              <w:top w:val="none" w:sz="0" w:space="0" w:color="auto"/>
              <w:bottom w:val="none" w:sz="0" w:space="0" w:color="auto"/>
            </w:tcBorders>
            <w:noWrap/>
            <w:hideMark/>
          </w:tcPr>
          <w:p w14:paraId="7A59948E"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6.6</w:t>
            </w:r>
          </w:p>
        </w:tc>
        <w:tc>
          <w:tcPr>
            <w:tcW w:w="1102" w:type="pct"/>
            <w:tcBorders>
              <w:top w:val="none" w:sz="0" w:space="0" w:color="auto"/>
              <w:bottom w:val="none" w:sz="0" w:space="0" w:color="auto"/>
            </w:tcBorders>
            <w:noWrap/>
            <w:hideMark/>
          </w:tcPr>
          <w:p w14:paraId="59A509FD"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0.579</w:t>
            </w:r>
          </w:p>
        </w:tc>
        <w:tc>
          <w:tcPr>
            <w:tcW w:w="882" w:type="pct"/>
            <w:tcBorders>
              <w:top w:val="none" w:sz="0" w:space="0" w:color="auto"/>
              <w:bottom w:val="none" w:sz="0" w:space="0" w:color="auto"/>
            </w:tcBorders>
            <w:noWrap/>
            <w:hideMark/>
          </w:tcPr>
          <w:p w14:paraId="2B7D193C"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0.187</w:t>
            </w:r>
          </w:p>
        </w:tc>
        <w:tc>
          <w:tcPr>
            <w:tcW w:w="691" w:type="pct"/>
            <w:tcBorders>
              <w:top w:val="none" w:sz="0" w:space="0" w:color="auto"/>
              <w:bottom w:val="none" w:sz="0" w:space="0" w:color="auto"/>
            </w:tcBorders>
            <w:noWrap/>
            <w:hideMark/>
          </w:tcPr>
          <w:p w14:paraId="793DE2F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0.766</w:t>
            </w:r>
          </w:p>
        </w:tc>
        <w:tc>
          <w:tcPr>
            <w:tcW w:w="481" w:type="pct"/>
            <w:tcBorders>
              <w:top w:val="none" w:sz="0" w:space="0" w:color="auto"/>
              <w:bottom w:val="none" w:sz="0" w:space="0" w:color="auto"/>
            </w:tcBorders>
            <w:noWrap/>
            <w:hideMark/>
          </w:tcPr>
          <w:p w14:paraId="56392B92"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26</w:t>
            </w:r>
          </w:p>
        </w:tc>
      </w:tr>
      <w:tr w:rsidR="00F73311" w:rsidRPr="007F0A79" w14:paraId="3BED1EB3" w14:textId="77777777" w:rsidTr="008B49E2">
        <w:trPr>
          <w:trHeight w:val="290"/>
        </w:trPr>
        <w:tc>
          <w:tcPr>
            <w:cnfStyle w:val="001000000000" w:firstRow="0" w:lastRow="0" w:firstColumn="1" w:lastColumn="0" w:oddVBand="0" w:evenVBand="0" w:oddHBand="0" w:evenHBand="0" w:firstRowFirstColumn="0" w:firstRowLastColumn="0" w:lastRowFirstColumn="0" w:lastRowLastColumn="0"/>
            <w:tcW w:w="481" w:type="pct"/>
            <w:vMerge/>
            <w:tcBorders>
              <w:right w:val="none" w:sz="0" w:space="0" w:color="auto"/>
            </w:tcBorders>
            <w:hideMark/>
          </w:tcPr>
          <w:p w14:paraId="1A29A880" w14:textId="77777777" w:rsidR="00F73311" w:rsidRPr="008B49E2" w:rsidRDefault="00F73311" w:rsidP="003266D8">
            <w:pPr>
              <w:jc w:val="center"/>
              <w:rPr>
                <w:b w:val="0"/>
                <w:lang w:bidi="ar-SA"/>
              </w:rPr>
            </w:pPr>
          </w:p>
        </w:tc>
        <w:tc>
          <w:tcPr>
            <w:tcW w:w="481" w:type="pct"/>
            <w:noWrap/>
            <w:hideMark/>
          </w:tcPr>
          <w:p w14:paraId="4B31F810"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82" w:type="pct"/>
            <w:noWrap/>
            <w:hideMark/>
          </w:tcPr>
          <w:p w14:paraId="5706552E"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8.1</w:t>
            </w:r>
          </w:p>
        </w:tc>
        <w:tc>
          <w:tcPr>
            <w:tcW w:w="1102" w:type="pct"/>
            <w:noWrap/>
            <w:hideMark/>
          </w:tcPr>
          <w:p w14:paraId="28FE979C"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0.710</w:t>
            </w:r>
          </w:p>
        </w:tc>
        <w:tc>
          <w:tcPr>
            <w:tcW w:w="882" w:type="pct"/>
            <w:noWrap/>
            <w:hideMark/>
          </w:tcPr>
          <w:p w14:paraId="4A0B039A"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0.262</w:t>
            </w:r>
          </w:p>
        </w:tc>
        <w:tc>
          <w:tcPr>
            <w:tcW w:w="691" w:type="pct"/>
            <w:noWrap/>
            <w:hideMark/>
          </w:tcPr>
          <w:p w14:paraId="2396132C"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0.972</w:t>
            </w:r>
          </w:p>
        </w:tc>
        <w:tc>
          <w:tcPr>
            <w:tcW w:w="481" w:type="pct"/>
            <w:noWrap/>
            <w:hideMark/>
          </w:tcPr>
          <w:p w14:paraId="4F6A4BDC"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32</w:t>
            </w:r>
          </w:p>
        </w:tc>
      </w:tr>
      <w:tr w:rsidR="00F73311" w:rsidRPr="007F0A79" w14:paraId="4A4E5969" w14:textId="77777777" w:rsidTr="008B49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1" w:type="pct"/>
            <w:vMerge w:val="restart"/>
            <w:tcBorders>
              <w:top w:val="none" w:sz="0" w:space="0" w:color="auto"/>
              <w:bottom w:val="none" w:sz="0" w:space="0" w:color="auto"/>
              <w:right w:val="none" w:sz="0" w:space="0" w:color="auto"/>
            </w:tcBorders>
            <w:shd w:val="clear" w:color="auto" w:fill="EAF1DD" w:themeFill="accent3" w:themeFillTint="33"/>
            <w:noWrap/>
            <w:hideMark/>
          </w:tcPr>
          <w:p w14:paraId="12BF8276" w14:textId="77777777" w:rsidR="00F73311" w:rsidRPr="008B49E2" w:rsidRDefault="00F73311" w:rsidP="003266D8">
            <w:pPr>
              <w:jc w:val="center"/>
              <w:rPr>
                <w:b w:val="0"/>
                <w:lang w:bidi="ar-SA"/>
              </w:rPr>
            </w:pPr>
            <w:r w:rsidRPr="008B49E2">
              <w:rPr>
                <w:b w:val="0"/>
                <w:lang w:bidi="ar-SA"/>
              </w:rPr>
              <w:t>31-50</w:t>
            </w:r>
          </w:p>
        </w:tc>
        <w:tc>
          <w:tcPr>
            <w:tcW w:w="481" w:type="pct"/>
            <w:tcBorders>
              <w:top w:val="none" w:sz="0" w:space="0" w:color="auto"/>
              <w:bottom w:val="none" w:sz="0" w:space="0" w:color="auto"/>
            </w:tcBorders>
            <w:shd w:val="clear" w:color="auto" w:fill="EAF1DD" w:themeFill="accent3" w:themeFillTint="33"/>
            <w:noWrap/>
            <w:hideMark/>
          </w:tcPr>
          <w:p w14:paraId="57FC9CA4"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82" w:type="pct"/>
            <w:tcBorders>
              <w:top w:val="none" w:sz="0" w:space="0" w:color="auto"/>
              <w:bottom w:val="none" w:sz="0" w:space="0" w:color="auto"/>
            </w:tcBorders>
            <w:shd w:val="clear" w:color="auto" w:fill="EAF1DD" w:themeFill="accent3" w:themeFillTint="33"/>
            <w:noWrap/>
            <w:hideMark/>
          </w:tcPr>
          <w:p w14:paraId="11122D2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5.4</w:t>
            </w:r>
          </w:p>
        </w:tc>
        <w:tc>
          <w:tcPr>
            <w:tcW w:w="1102" w:type="pct"/>
            <w:tcBorders>
              <w:top w:val="none" w:sz="0" w:space="0" w:color="auto"/>
              <w:bottom w:val="none" w:sz="0" w:space="0" w:color="auto"/>
            </w:tcBorders>
            <w:shd w:val="clear" w:color="auto" w:fill="EAF1DD" w:themeFill="accent3" w:themeFillTint="33"/>
            <w:noWrap/>
            <w:hideMark/>
          </w:tcPr>
          <w:p w14:paraId="0159ED8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0.477</w:t>
            </w:r>
          </w:p>
        </w:tc>
        <w:tc>
          <w:tcPr>
            <w:tcW w:w="882" w:type="pct"/>
            <w:tcBorders>
              <w:top w:val="none" w:sz="0" w:space="0" w:color="auto"/>
              <w:bottom w:val="none" w:sz="0" w:space="0" w:color="auto"/>
            </w:tcBorders>
            <w:shd w:val="clear" w:color="auto" w:fill="EAF1DD" w:themeFill="accent3" w:themeFillTint="33"/>
            <w:noWrap/>
            <w:hideMark/>
          </w:tcPr>
          <w:p w14:paraId="71FA4A21"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0.234</w:t>
            </w:r>
          </w:p>
        </w:tc>
        <w:tc>
          <w:tcPr>
            <w:tcW w:w="691" w:type="pct"/>
            <w:tcBorders>
              <w:top w:val="none" w:sz="0" w:space="0" w:color="auto"/>
              <w:bottom w:val="none" w:sz="0" w:space="0" w:color="auto"/>
            </w:tcBorders>
            <w:shd w:val="clear" w:color="auto" w:fill="EAF1DD" w:themeFill="accent3" w:themeFillTint="33"/>
            <w:noWrap/>
            <w:hideMark/>
          </w:tcPr>
          <w:p w14:paraId="29FAB805"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0.711</w:t>
            </w:r>
          </w:p>
        </w:tc>
        <w:tc>
          <w:tcPr>
            <w:tcW w:w="481" w:type="pct"/>
            <w:tcBorders>
              <w:top w:val="none" w:sz="0" w:space="0" w:color="auto"/>
              <w:bottom w:val="none" w:sz="0" w:space="0" w:color="auto"/>
            </w:tcBorders>
            <w:shd w:val="clear" w:color="auto" w:fill="EAF1DD" w:themeFill="accent3" w:themeFillTint="33"/>
            <w:noWrap/>
            <w:hideMark/>
          </w:tcPr>
          <w:p w14:paraId="127269B7"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24</w:t>
            </w:r>
          </w:p>
        </w:tc>
      </w:tr>
      <w:tr w:rsidR="00F73311" w:rsidRPr="007F0A79" w14:paraId="52B6A90E" w14:textId="77777777" w:rsidTr="008B49E2">
        <w:trPr>
          <w:trHeight w:val="290"/>
        </w:trPr>
        <w:tc>
          <w:tcPr>
            <w:cnfStyle w:val="001000000000" w:firstRow="0" w:lastRow="0" w:firstColumn="1" w:lastColumn="0" w:oddVBand="0" w:evenVBand="0" w:oddHBand="0" w:evenHBand="0" w:firstRowFirstColumn="0" w:firstRowLastColumn="0" w:lastRowFirstColumn="0" w:lastRowLastColumn="0"/>
            <w:tcW w:w="481" w:type="pct"/>
            <w:vMerge/>
            <w:tcBorders>
              <w:right w:val="none" w:sz="0" w:space="0" w:color="auto"/>
            </w:tcBorders>
            <w:shd w:val="clear" w:color="auto" w:fill="EAF1DD" w:themeFill="accent3" w:themeFillTint="33"/>
            <w:hideMark/>
          </w:tcPr>
          <w:p w14:paraId="3AC8F95F" w14:textId="77777777" w:rsidR="00F73311" w:rsidRPr="008B49E2" w:rsidRDefault="00F73311" w:rsidP="003266D8">
            <w:pPr>
              <w:jc w:val="center"/>
              <w:rPr>
                <w:b w:val="0"/>
                <w:lang w:bidi="ar-SA"/>
              </w:rPr>
            </w:pPr>
          </w:p>
        </w:tc>
        <w:tc>
          <w:tcPr>
            <w:tcW w:w="481" w:type="pct"/>
            <w:shd w:val="clear" w:color="auto" w:fill="EAF1DD" w:themeFill="accent3" w:themeFillTint="33"/>
            <w:noWrap/>
            <w:hideMark/>
          </w:tcPr>
          <w:p w14:paraId="4B137E6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82" w:type="pct"/>
            <w:shd w:val="clear" w:color="auto" w:fill="EAF1DD" w:themeFill="accent3" w:themeFillTint="33"/>
            <w:noWrap/>
            <w:hideMark/>
          </w:tcPr>
          <w:p w14:paraId="45E483BE"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7.3</w:t>
            </w:r>
          </w:p>
        </w:tc>
        <w:tc>
          <w:tcPr>
            <w:tcW w:w="1102" w:type="pct"/>
            <w:shd w:val="clear" w:color="auto" w:fill="EAF1DD" w:themeFill="accent3" w:themeFillTint="33"/>
            <w:noWrap/>
            <w:hideMark/>
          </w:tcPr>
          <w:p w14:paraId="6A9ED97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0.640</w:t>
            </w:r>
          </w:p>
        </w:tc>
        <w:tc>
          <w:tcPr>
            <w:tcW w:w="882" w:type="pct"/>
            <w:shd w:val="clear" w:color="auto" w:fill="EAF1DD" w:themeFill="accent3" w:themeFillTint="33"/>
            <w:noWrap/>
            <w:hideMark/>
          </w:tcPr>
          <w:p w14:paraId="6B091147"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0.270</w:t>
            </w:r>
          </w:p>
        </w:tc>
        <w:tc>
          <w:tcPr>
            <w:tcW w:w="691" w:type="pct"/>
            <w:shd w:val="clear" w:color="auto" w:fill="EAF1DD" w:themeFill="accent3" w:themeFillTint="33"/>
            <w:noWrap/>
            <w:hideMark/>
          </w:tcPr>
          <w:p w14:paraId="55E8BE56"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0.910</w:t>
            </w:r>
          </w:p>
        </w:tc>
        <w:tc>
          <w:tcPr>
            <w:tcW w:w="481" w:type="pct"/>
            <w:shd w:val="clear" w:color="auto" w:fill="EAF1DD" w:themeFill="accent3" w:themeFillTint="33"/>
            <w:noWrap/>
            <w:hideMark/>
          </w:tcPr>
          <w:p w14:paraId="5CDAD8A9"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30</w:t>
            </w:r>
          </w:p>
        </w:tc>
      </w:tr>
      <w:tr w:rsidR="00F73311" w:rsidRPr="007F0A79" w14:paraId="1EB116DA" w14:textId="77777777" w:rsidTr="008B49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1" w:type="pct"/>
            <w:vMerge w:val="restart"/>
            <w:tcBorders>
              <w:top w:val="none" w:sz="0" w:space="0" w:color="auto"/>
              <w:bottom w:val="none" w:sz="0" w:space="0" w:color="auto"/>
              <w:right w:val="none" w:sz="0" w:space="0" w:color="auto"/>
            </w:tcBorders>
            <w:noWrap/>
            <w:hideMark/>
          </w:tcPr>
          <w:p w14:paraId="448059E0" w14:textId="77777777" w:rsidR="00F73311" w:rsidRPr="008B49E2" w:rsidRDefault="00F73311" w:rsidP="003266D8">
            <w:pPr>
              <w:jc w:val="center"/>
              <w:rPr>
                <w:b w:val="0"/>
                <w:lang w:bidi="ar-SA"/>
              </w:rPr>
            </w:pPr>
            <w:r w:rsidRPr="008B49E2">
              <w:rPr>
                <w:b w:val="0"/>
                <w:lang w:bidi="ar-SA"/>
              </w:rPr>
              <w:t>51-70</w:t>
            </w:r>
          </w:p>
        </w:tc>
        <w:tc>
          <w:tcPr>
            <w:tcW w:w="481" w:type="pct"/>
            <w:tcBorders>
              <w:top w:val="none" w:sz="0" w:space="0" w:color="auto"/>
              <w:bottom w:val="none" w:sz="0" w:space="0" w:color="auto"/>
            </w:tcBorders>
            <w:noWrap/>
            <w:hideMark/>
          </w:tcPr>
          <w:p w14:paraId="0B04AD6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82" w:type="pct"/>
            <w:tcBorders>
              <w:top w:val="none" w:sz="0" w:space="0" w:color="auto"/>
              <w:bottom w:val="none" w:sz="0" w:space="0" w:color="auto"/>
            </w:tcBorders>
            <w:noWrap/>
            <w:hideMark/>
          </w:tcPr>
          <w:p w14:paraId="4D7D501D"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4.7</w:t>
            </w:r>
          </w:p>
        </w:tc>
        <w:tc>
          <w:tcPr>
            <w:tcW w:w="1102" w:type="pct"/>
            <w:tcBorders>
              <w:top w:val="none" w:sz="0" w:space="0" w:color="auto"/>
              <w:bottom w:val="none" w:sz="0" w:space="0" w:color="auto"/>
            </w:tcBorders>
            <w:noWrap/>
            <w:hideMark/>
          </w:tcPr>
          <w:p w14:paraId="5B77408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0.410</w:t>
            </w:r>
          </w:p>
        </w:tc>
        <w:tc>
          <w:tcPr>
            <w:tcW w:w="882" w:type="pct"/>
            <w:tcBorders>
              <w:top w:val="none" w:sz="0" w:space="0" w:color="auto"/>
              <w:bottom w:val="none" w:sz="0" w:space="0" w:color="auto"/>
            </w:tcBorders>
            <w:noWrap/>
            <w:hideMark/>
          </w:tcPr>
          <w:p w14:paraId="08F251C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0.241</w:t>
            </w:r>
          </w:p>
        </w:tc>
        <w:tc>
          <w:tcPr>
            <w:tcW w:w="691" w:type="pct"/>
            <w:tcBorders>
              <w:top w:val="none" w:sz="0" w:space="0" w:color="auto"/>
              <w:bottom w:val="none" w:sz="0" w:space="0" w:color="auto"/>
            </w:tcBorders>
            <w:noWrap/>
            <w:hideMark/>
          </w:tcPr>
          <w:p w14:paraId="533832FB"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0.651</w:t>
            </w:r>
          </w:p>
        </w:tc>
        <w:tc>
          <w:tcPr>
            <w:tcW w:w="481" w:type="pct"/>
            <w:tcBorders>
              <w:top w:val="none" w:sz="0" w:space="0" w:color="auto"/>
              <w:bottom w:val="none" w:sz="0" w:space="0" w:color="auto"/>
            </w:tcBorders>
            <w:noWrap/>
            <w:hideMark/>
          </w:tcPr>
          <w:p w14:paraId="2E08B26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22</w:t>
            </w:r>
          </w:p>
        </w:tc>
      </w:tr>
      <w:tr w:rsidR="00F73311" w:rsidRPr="007F0A79" w14:paraId="5384AA45" w14:textId="77777777" w:rsidTr="008B49E2">
        <w:trPr>
          <w:trHeight w:val="290"/>
        </w:trPr>
        <w:tc>
          <w:tcPr>
            <w:cnfStyle w:val="001000000000" w:firstRow="0" w:lastRow="0" w:firstColumn="1" w:lastColumn="0" w:oddVBand="0" w:evenVBand="0" w:oddHBand="0" w:evenHBand="0" w:firstRowFirstColumn="0" w:firstRowLastColumn="0" w:lastRowFirstColumn="0" w:lastRowLastColumn="0"/>
            <w:tcW w:w="481" w:type="pct"/>
            <w:vMerge/>
            <w:tcBorders>
              <w:right w:val="none" w:sz="0" w:space="0" w:color="auto"/>
            </w:tcBorders>
            <w:hideMark/>
          </w:tcPr>
          <w:p w14:paraId="0AC65F39" w14:textId="77777777" w:rsidR="00F73311" w:rsidRPr="008B49E2" w:rsidRDefault="00F73311" w:rsidP="003266D8">
            <w:pPr>
              <w:jc w:val="center"/>
              <w:rPr>
                <w:b w:val="0"/>
                <w:lang w:bidi="ar-SA"/>
              </w:rPr>
            </w:pPr>
          </w:p>
        </w:tc>
        <w:tc>
          <w:tcPr>
            <w:tcW w:w="481" w:type="pct"/>
            <w:noWrap/>
            <w:hideMark/>
          </w:tcPr>
          <w:p w14:paraId="773FBFC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82" w:type="pct"/>
            <w:noWrap/>
            <w:hideMark/>
          </w:tcPr>
          <w:p w14:paraId="63AC5C34"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6.0</w:t>
            </w:r>
          </w:p>
        </w:tc>
        <w:tc>
          <w:tcPr>
            <w:tcW w:w="1102" w:type="pct"/>
            <w:noWrap/>
            <w:hideMark/>
          </w:tcPr>
          <w:p w14:paraId="665A11ED"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0.527</w:t>
            </w:r>
          </w:p>
        </w:tc>
        <w:tc>
          <w:tcPr>
            <w:tcW w:w="882" w:type="pct"/>
            <w:noWrap/>
            <w:hideMark/>
          </w:tcPr>
          <w:p w14:paraId="286EA58A"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0.258</w:t>
            </w:r>
          </w:p>
        </w:tc>
        <w:tc>
          <w:tcPr>
            <w:tcW w:w="691" w:type="pct"/>
            <w:noWrap/>
            <w:hideMark/>
          </w:tcPr>
          <w:p w14:paraId="37D15CF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0.785</w:t>
            </w:r>
          </w:p>
        </w:tc>
        <w:tc>
          <w:tcPr>
            <w:tcW w:w="481" w:type="pct"/>
            <w:noWrap/>
            <w:hideMark/>
          </w:tcPr>
          <w:p w14:paraId="75E7AA7E"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26</w:t>
            </w:r>
          </w:p>
        </w:tc>
      </w:tr>
      <w:tr w:rsidR="00F73311" w:rsidRPr="007F0A79" w14:paraId="7045E897" w14:textId="77777777" w:rsidTr="008B49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1" w:type="pct"/>
            <w:vMerge w:val="restart"/>
            <w:tcBorders>
              <w:top w:val="none" w:sz="0" w:space="0" w:color="auto"/>
              <w:bottom w:val="none" w:sz="0" w:space="0" w:color="auto"/>
              <w:right w:val="none" w:sz="0" w:space="0" w:color="auto"/>
            </w:tcBorders>
            <w:shd w:val="clear" w:color="auto" w:fill="EAF1DD" w:themeFill="accent3" w:themeFillTint="33"/>
            <w:noWrap/>
            <w:hideMark/>
          </w:tcPr>
          <w:p w14:paraId="2384F4B5" w14:textId="77777777" w:rsidR="00F73311" w:rsidRPr="008B49E2" w:rsidRDefault="00F73311" w:rsidP="003266D8">
            <w:pPr>
              <w:jc w:val="center"/>
              <w:rPr>
                <w:b w:val="0"/>
                <w:lang w:bidi="ar-SA"/>
              </w:rPr>
            </w:pPr>
            <w:r w:rsidRPr="008B49E2">
              <w:rPr>
                <w:b w:val="0"/>
                <w:lang w:bidi="ar-SA"/>
              </w:rPr>
              <w:t>&gt;= 71</w:t>
            </w:r>
          </w:p>
        </w:tc>
        <w:tc>
          <w:tcPr>
            <w:tcW w:w="481" w:type="pct"/>
            <w:tcBorders>
              <w:top w:val="none" w:sz="0" w:space="0" w:color="auto"/>
              <w:bottom w:val="none" w:sz="0" w:space="0" w:color="auto"/>
            </w:tcBorders>
            <w:shd w:val="clear" w:color="auto" w:fill="EAF1DD" w:themeFill="accent3" w:themeFillTint="33"/>
            <w:noWrap/>
            <w:hideMark/>
          </w:tcPr>
          <w:p w14:paraId="3EAC7CDA"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82" w:type="pct"/>
            <w:tcBorders>
              <w:top w:val="none" w:sz="0" w:space="0" w:color="auto"/>
              <w:bottom w:val="none" w:sz="0" w:space="0" w:color="auto"/>
            </w:tcBorders>
            <w:shd w:val="clear" w:color="auto" w:fill="EAF1DD" w:themeFill="accent3" w:themeFillTint="33"/>
            <w:noWrap/>
            <w:hideMark/>
          </w:tcPr>
          <w:p w14:paraId="7A3E7A67"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4.4</w:t>
            </w:r>
          </w:p>
        </w:tc>
        <w:tc>
          <w:tcPr>
            <w:tcW w:w="1102" w:type="pct"/>
            <w:tcBorders>
              <w:top w:val="none" w:sz="0" w:space="0" w:color="auto"/>
              <w:bottom w:val="none" w:sz="0" w:space="0" w:color="auto"/>
            </w:tcBorders>
            <w:shd w:val="clear" w:color="auto" w:fill="EAF1DD" w:themeFill="accent3" w:themeFillTint="33"/>
            <w:noWrap/>
            <w:hideMark/>
          </w:tcPr>
          <w:p w14:paraId="49EABEFF"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0.389</w:t>
            </w:r>
          </w:p>
        </w:tc>
        <w:tc>
          <w:tcPr>
            <w:tcW w:w="882" w:type="pct"/>
            <w:tcBorders>
              <w:top w:val="none" w:sz="0" w:space="0" w:color="auto"/>
              <w:bottom w:val="none" w:sz="0" w:space="0" w:color="auto"/>
            </w:tcBorders>
            <w:shd w:val="clear" w:color="auto" w:fill="EAF1DD" w:themeFill="accent3" w:themeFillTint="33"/>
            <w:noWrap/>
            <w:hideMark/>
          </w:tcPr>
          <w:p w14:paraId="4DAE26F6"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0.229</w:t>
            </w:r>
          </w:p>
        </w:tc>
        <w:tc>
          <w:tcPr>
            <w:tcW w:w="691" w:type="pct"/>
            <w:tcBorders>
              <w:top w:val="none" w:sz="0" w:space="0" w:color="auto"/>
              <w:bottom w:val="none" w:sz="0" w:space="0" w:color="auto"/>
            </w:tcBorders>
            <w:shd w:val="clear" w:color="auto" w:fill="EAF1DD" w:themeFill="accent3" w:themeFillTint="33"/>
            <w:noWrap/>
            <w:hideMark/>
          </w:tcPr>
          <w:p w14:paraId="2D197B8B"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0.618</w:t>
            </w:r>
          </w:p>
        </w:tc>
        <w:tc>
          <w:tcPr>
            <w:tcW w:w="481" w:type="pct"/>
            <w:tcBorders>
              <w:top w:val="none" w:sz="0" w:space="0" w:color="auto"/>
              <w:bottom w:val="none" w:sz="0" w:space="0" w:color="auto"/>
            </w:tcBorders>
            <w:shd w:val="clear" w:color="auto" w:fill="EAF1DD" w:themeFill="accent3" w:themeFillTint="33"/>
            <w:noWrap/>
            <w:hideMark/>
          </w:tcPr>
          <w:p w14:paraId="45A5449C"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21</w:t>
            </w:r>
          </w:p>
        </w:tc>
      </w:tr>
      <w:tr w:rsidR="00F73311" w:rsidRPr="007F0A79" w14:paraId="4A3922F0" w14:textId="77777777" w:rsidTr="008B49E2">
        <w:trPr>
          <w:trHeight w:val="290"/>
        </w:trPr>
        <w:tc>
          <w:tcPr>
            <w:cnfStyle w:val="001000000000" w:firstRow="0" w:lastRow="0" w:firstColumn="1" w:lastColumn="0" w:oddVBand="0" w:evenVBand="0" w:oddHBand="0" w:evenHBand="0" w:firstRowFirstColumn="0" w:firstRowLastColumn="0" w:lastRowFirstColumn="0" w:lastRowLastColumn="0"/>
            <w:tcW w:w="481" w:type="pct"/>
            <w:vMerge/>
            <w:tcBorders>
              <w:right w:val="none" w:sz="0" w:space="0" w:color="auto"/>
            </w:tcBorders>
            <w:shd w:val="clear" w:color="auto" w:fill="EAF1DD" w:themeFill="accent3" w:themeFillTint="33"/>
            <w:hideMark/>
          </w:tcPr>
          <w:p w14:paraId="44F8D37A" w14:textId="77777777" w:rsidR="00F73311" w:rsidRPr="008B49E2" w:rsidRDefault="00F73311" w:rsidP="003266D8">
            <w:pPr>
              <w:jc w:val="center"/>
              <w:rPr>
                <w:b w:val="0"/>
                <w:lang w:bidi="ar-SA"/>
              </w:rPr>
            </w:pPr>
          </w:p>
        </w:tc>
        <w:tc>
          <w:tcPr>
            <w:tcW w:w="481" w:type="pct"/>
            <w:shd w:val="clear" w:color="auto" w:fill="EAF1DD" w:themeFill="accent3" w:themeFillTint="33"/>
            <w:noWrap/>
            <w:hideMark/>
          </w:tcPr>
          <w:p w14:paraId="18D5DB7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82" w:type="pct"/>
            <w:shd w:val="clear" w:color="auto" w:fill="EAF1DD" w:themeFill="accent3" w:themeFillTint="33"/>
            <w:noWrap/>
            <w:hideMark/>
          </w:tcPr>
          <w:p w14:paraId="5F505C0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5.4</w:t>
            </w:r>
          </w:p>
        </w:tc>
        <w:tc>
          <w:tcPr>
            <w:tcW w:w="1102" w:type="pct"/>
            <w:shd w:val="clear" w:color="auto" w:fill="EAF1DD" w:themeFill="accent3" w:themeFillTint="33"/>
            <w:noWrap/>
            <w:hideMark/>
          </w:tcPr>
          <w:p w14:paraId="28E6B064"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0.474</w:t>
            </w:r>
          </w:p>
        </w:tc>
        <w:tc>
          <w:tcPr>
            <w:tcW w:w="882" w:type="pct"/>
            <w:shd w:val="clear" w:color="auto" w:fill="EAF1DD" w:themeFill="accent3" w:themeFillTint="33"/>
            <w:noWrap/>
            <w:hideMark/>
          </w:tcPr>
          <w:p w14:paraId="3509A2E0"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0.229</w:t>
            </w:r>
          </w:p>
        </w:tc>
        <w:tc>
          <w:tcPr>
            <w:tcW w:w="691" w:type="pct"/>
            <w:shd w:val="clear" w:color="auto" w:fill="EAF1DD" w:themeFill="accent3" w:themeFillTint="33"/>
            <w:noWrap/>
            <w:hideMark/>
          </w:tcPr>
          <w:p w14:paraId="4DBA4E34"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0.703</w:t>
            </w:r>
          </w:p>
        </w:tc>
        <w:tc>
          <w:tcPr>
            <w:tcW w:w="481" w:type="pct"/>
            <w:shd w:val="clear" w:color="auto" w:fill="EAF1DD" w:themeFill="accent3" w:themeFillTint="33"/>
            <w:noWrap/>
            <w:hideMark/>
          </w:tcPr>
          <w:p w14:paraId="7F571121"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23</w:t>
            </w:r>
          </w:p>
        </w:tc>
      </w:tr>
    </w:tbl>
    <w:p w14:paraId="0CFE2616" w14:textId="6D510B70" w:rsidR="00F73311" w:rsidRPr="00E9375F" w:rsidRDefault="00F73311" w:rsidP="00F73311">
      <w:pPr>
        <w:spacing w:before="120" w:after="120"/>
        <w:rPr>
          <w:sz w:val="18"/>
          <w:lang w:bidi="ar-SA"/>
        </w:rPr>
      </w:pPr>
      <w:r w:rsidRPr="00E9375F">
        <w:rPr>
          <w:sz w:val="18"/>
          <w:vertAlign w:val="superscript"/>
          <w:lang w:bidi="ar-SA"/>
        </w:rPr>
        <w:t>1</w:t>
      </w:r>
      <w:r w:rsidR="00BA0F72" w:rsidRPr="00BA0F72">
        <w:rPr>
          <w:sz w:val="18"/>
          <w:lang w:bidi="ar-SA"/>
        </w:rPr>
        <w:t xml:space="preserve"> </w:t>
      </w:r>
      <w:r w:rsidR="00BA0F72" w:rsidRPr="008B542C">
        <w:rPr>
          <w:sz w:val="18"/>
          <w:lang w:bidi="ar-SA"/>
        </w:rPr>
        <w:t>two-day average weighted mean consumption, rounded to 1 decimal place, consumers only</w:t>
      </w:r>
      <w:r w:rsidR="00BA0F72" w:rsidRPr="00BA0F72" w:rsidDel="00BA0F72">
        <w:rPr>
          <w:sz w:val="18"/>
          <w:lang w:bidi="ar-SA"/>
        </w:rPr>
        <w:t xml:space="preserve"> </w:t>
      </w:r>
    </w:p>
    <w:p w14:paraId="512CF087" w14:textId="28E7C26A" w:rsidR="004B0630" w:rsidRPr="00E9375F" w:rsidRDefault="00F73311" w:rsidP="00BA0F72">
      <w:pPr>
        <w:spacing w:before="120" w:after="120"/>
        <w:rPr>
          <w:sz w:val="18"/>
          <w:lang w:bidi="ar-SA"/>
        </w:rPr>
      </w:pPr>
      <w:r w:rsidRPr="00BA290C">
        <w:rPr>
          <w:sz w:val="18"/>
          <w:vertAlign w:val="superscript"/>
          <w:lang w:bidi="ar-SA"/>
        </w:rPr>
        <w:t>2</w:t>
      </w:r>
      <w:r w:rsidR="00BA0F72" w:rsidRPr="00BA0F72">
        <w:rPr>
          <w:sz w:val="18"/>
          <w:lang w:bidi="ar-SA"/>
        </w:rPr>
        <w:t xml:space="preserve"> </w:t>
      </w:r>
      <w:r w:rsidR="00BA0F72" w:rsidRPr="008B542C">
        <w:rPr>
          <w:sz w:val="18"/>
          <w:lang w:bidi="ar-SA"/>
        </w:rPr>
        <w:t>mean usual intakes for Australia (ABS 2015</w:t>
      </w:r>
      <w:r w:rsidR="00BF5218">
        <w:rPr>
          <w:sz w:val="18"/>
          <w:lang w:bidi="ar-SA"/>
        </w:rPr>
        <w:t>a</w:t>
      </w:r>
      <w:r w:rsidR="00BA0F72" w:rsidRPr="008B542C">
        <w:rPr>
          <w:sz w:val="18"/>
          <w:lang w:bidi="ar-SA"/>
        </w:rPr>
        <w:t xml:space="preserve">), best match age group used </w:t>
      </w:r>
      <w:r w:rsidR="00BF5218">
        <w:rPr>
          <w:sz w:val="18"/>
          <w:lang w:bidi="ar-SA"/>
        </w:rPr>
        <w:t>(Table 5)</w:t>
      </w:r>
      <w:bookmarkStart w:id="124" w:name="_Ref483839621"/>
      <w:bookmarkStart w:id="125" w:name="_Ref490639984"/>
    </w:p>
    <w:p w14:paraId="5B04C85B" w14:textId="77777777" w:rsidR="004B0630" w:rsidRDefault="004B0630" w:rsidP="004B0630">
      <w:pPr>
        <w:rPr>
          <w:rFonts w:cs="Arial"/>
        </w:rPr>
      </w:pPr>
      <w:r>
        <w:br w:type="page"/>
      </w:r>
    </w:p>
    <w:p w14:paraId="6ABB92EA" w14:textId="1CB4BA49" w:rsidR="003266D8" w:rsidRPr="003266D8" w:rsidRDefault="005D5D89" w:rsidP="00645494">
      <w:pPr>
        <w:pStyle w:val="FSTableTitle"/>
        <w:spacing w:after="240"/>
      </w:pPr>
      <w:r>
        <w:t>Table D</w:t>
      </w:r>
      <w:r w:rsidR="004B0630">
        <w:t>:</w:t>
      </w:r>
      <w:r w:rsidR="00F73311">
        <w:t xml:space="preserve"> </w:t>
      </w:r>
      <w:r w:rsidR="00F73311" w:rsidRPr="00C56A11">
        <w:t>Estimated dietary intakes of n-3 LC-PUFA for New Zealand population groups assuming that all canola and 30% of non</w:t>
      </w:r>
      <w:r w:rsidR="00F73311" w:rsidRPr="00C56A11">
        <w:noBreakHyphen/>
        <w:t xml:space="preserve">specified oil in the food supply will be replaced by </w:t>
      </w:r>
      <w:r w:rsidR="00F73311">
        <w:t>LFBLFK</w:t>
      </w:r>
      <w:r w:rsidR="00F73311" w:rsidRPr="00C56A11">
        <w:t xml:space="preserve"> canola oil (Scenario 2</w:t>
      </w:r>
      <w:bookmarkEnd w:id="124"/>
      <w:r w:rsidR="00F73311" w:rsidRPr="00C56A11">
        <w:t>)</w:t>
      </w:r>
      <w:bookmarkEnd w:id="125"/>
    </w:p>
    <w:tbl>
      <w:tblPr>
        <w:tblStyle w:val="ListTable3-Accent3"/>
        <w:tblW w:w="5000" w:type="pct"/>
        <w:tblLook w:val="04A0" w:firstRow="1" w:lastRow="0" w:firstColumn="1" w:lastColumn="0" w:noHBand="0" w:noVBand="1"/>
        <w:tblCaption w:val="Table 5 Estimated dietary intakes of n-3 LC-PUFA for New Zealand population groups assuming that all canola and 30% of non specified oil in the food supply will be replaced by DHA canola oil (Scenario 2)"/>
        <w:tblDescription w:val="Table 5 Estimated dietary intakes of n-3 LC-PUFA for New Zealand population groups assuming that all canola and 30% of non specified oil in the food supply will be replaced by DHA canola oil (Scenario 2)"/>
      </w:tblPr>
      <w:tblGrid>
        <w:gridCol w:w="1553"/>
        <w:gridCol w:w="1536"/>
        <w:gridCol w:w="2426"/>
        <w:gridCol w:w="2815"/>
        <w:gridCol w:w="2200"/>
        <w:gridCol w:w="1909"/>
        <w:gridCol w:w="1553"/>
      </w:tblGrid>
      <w:tr w:rsidR="008B49E2" w:rsidRPr="008B49E2" w14:paraId="5BCF239C" w14:textId="77777777" w:rsidTr="00D26E0D">
        <w:trPr>
          <w:cnfStyle w:val="100000000000" w:firstRow="1" w:lastRow="0" w:firstColumn="0" w:lastColumn="0" w:oddVBand="0" w:evenVBand="0" w:oddHBand="0" w:evenHBand="0" w:firstRowFirstColumn="0" w:firstRowLastColumn="0" w:lastRowFirstColumn="0" w:lastRowLastColumn="0"/>
          <w:trHeight w:val="1214"/>
          <w:tblHeader/>
        </w:trPr>
        <w:tc>
          <w:tcPr>
            <w:cnfStyle w:val="001000000100" w:firstRow="0" w:lastRow="0" w:firstColumn="1" w:lastColumn="0" w:oddVBand="0" w:evenVBand="0" w:oddHBand="0" w:evenHBand="0" w:firstRowFirstColumn="1" w:firstRowLastColumn="0" w:lastRowFirstColumn="0" w:lastRowLastColumn="0"/>
            <w:tcW w:w="555" w:type="pct"/>
            <w:tcBorders>
              <w:bottom w:val="single" w:sz="4" w:space="0" w:color="auto"/>
            </w:tcBorders>
            <w:noWrap/>
            <w:hideMark/>
          </w:tcPr>
          <w:p w14:paraId="42027422" w14:textId="77777777" w:rsidR="00BA0F72" w:rsidRDefault="00F73311" w:rsidP="003266D8">
            <w:pPr>
              <w:jc w:val="center"/>
              <w:rPr>
                <w:color w:val="auto"/>
                <w:lang w:bidi="ar-SA"/>
              </w:rPr>
            </w:pPr>
            <w:r w:rsidRPr="008B49E2">
              <w:rPr>
                <w:color w:val="auto"/>
                <w:lang w:bidi="ar-SA"/>
              </w:rPr>
              <w:t>Age</w:t>
            </w:r>
            <w:r w:rsidR="00BA0F72">
              <w:rPr>
                <w:color w:val="auto"/>
                <w:lang w:bidi="ar-SA"/>
              </w:rPr>
              <w:t xml:space="preserve"> group</w:t>
            </w:r>
          </w:p>
          <w:p w14:paraId="19D9DD5B" w14:textId="3749DF52" w:rsidR="00F73311" w:rsidRPr="008B49E2" w:rsidRDefault="00BA0F72" w:rsidP="003266D8">
            <w:pPr>
              <w:jc w:val="center"/>
              <w:rPr>
                <w:color w:val="auto"/>
                <w:lang w:bidi="ar-SA"/>
              </w:rPr>
            </w:pPr>
            <w:r>
              <w:rPr>
                <w:color w:val="auto"/>
                <w:lang w:bidi="ar-SA"/>
              </w:rPr>
              <w:t>(years)</w:t>
            </w:r>
          </w:p>
        </w:tc>
        <w:tc>
          <w:tcPr>
            <w:tcW w:w="549" w:type="pct"/>
            <w:tcBorders>
              <w:bottom w:val="single" w:sz="4" w:space="0" w:color="auto"/>
            </w:tcBorders>
            <w:noWrap/>
            <w:hideMark/>
          </w:tcPr>
          <w:p w14:paraId="560DBA35" w14:textId="77777777"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Sex</w:t>
            </w:r>
          </w:p>
        </w:tc>
        <w:tc>
          <w:tcPr>
            <w:tcW w:w="867" w:type="pct"/>
            <w:tcBorders>
              <w:bottom w:val="single" w:sz="4" w:space="0" w:color="auto"/>
            </w:tcBorders>
            <w:hideMark/>
          </w:tcPr>
          <w:p w14:paraId="67AD6E66" w14:textId="71FC6C78"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 xml:space="preserve">Mean canola oil+30% vegetable non-specified oil consumption </w:t>
            </w:r>
            <w:r w:rsidR="00BA0F72">
              <w:rPr>
                <w:color w:val="auto"/>
                <w:lang w:bidi="ar-SA"/>
              </w:rPr>
              <w:t>(</w:t>
            </w:r>
            <w:r w:rsidRPr="008B49E2">
              <w:rPr>
                <w:color w:val="auto"/>
                <w:lang w:bidi="ar-SA"/>
              </w:rPr>
              <w:t>g/day</w:t>
            </w:r>
            <w:r w:rsidR="00BA0F72">
              <w:rPr>
                <w:color w:val="auto"/>
                <w:lang w:bidi="ar-SA"/>
              </w:rPr>
              <w:t>)</w:t>
            </w:r>
            <w:r w:rsidRPr="008B49E2">
              <w:rPr>
                <w:color w:val="auto"/>
                <w:vertAlign w:val="superscript"/>
                <w:lang w:bidi="ar-SA"/>
              </w:rPr>
              <w:t>1</w:t>
            </w:r>
          </w:p>
        </w:tc>
        <w:tc>
          <w:tcPr>
            <w:tcW w:w="1006" w:type="pct"/>
            <w:tcBorders>
              <w:bottom w:val="single" w:sz="4" w:space="0" w:color="auto"/>
            </w:tcBorders>
            <w:hideMark/>
          </w:tcPr>
          <w:p w14:paraId="03713585" w14:textId="3B2B6ABE"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Additional intake n</w:t>
            </w:r>
            <w:r w:rsidRPr="008B49E2">
              <w:rPr>
                <w:color w:val="auto"/>
                <w:lang w:bidi="ar-SA"/>
              </w:rPr>
              <w:noBreakHyphen/>
              <w:t xml:space="preserve">3 LC PUFA from </w:t>
            </w:r>
            <w:r w:rsidR="002F36D0">
              <w:rPr>
                <w:color w:val="auto"/>
                <w:lang w:bidi="ar-SA"/>
              </w:rPr>
              <w:t>LBFLFK</w:t>
            </w:r>
            <w:r w:rsidRPr="008B49E2">
              <w:rPr>
                <w:color w:val="auto"/>
                <w:lang w:bidi="ar-SA"/>
              </w:rPr>
              <w:t xml:space="preserve"> </w:t>
            </w:r>
            <w:r w:rsidR="00BA0F72">
              <w:rPr>
                <w:color w:val="auto"/>
                <w:lang w:bidi="ar-SA"/>
              </w:rPr>
              <w:t>(</w:t>
            </w:r>
            <w:r w:rsidRPr="008B49E2">
              <w:rPr>
                <w:color w:val="auto"/>
                <w:lang w:bidi="ar-SA"/>
              </w:rPr>
              <w:t>g/day</w:t>
            </w:r>
            <w:r w:rsidR="00BA0F72">
              <w:rPr>
                <w:color w:val="auto"/>
                <w:lang w:bidi="ar-SA"/>
              </w:rPr>
              <w:t>)</w:t>
            </w:r>
          </w:p>
        </w:tc>
        <w:tc>
          <w:tcPr>
            <w:tcW w:w="786" w:type="pct"/>
            <w:tcBorders>
              <w:bottom w:val="single" w:sz="4" w:space="0" w:color="auto"/>
            </w:tcBorders>
            <w:hideMark/>
          </w:tcPr>
          <w:p w14:paraId="291EE976" w14:textId="36A83278"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Baseline mean intake n</w:t>
            </w:r>
            <w:r w:rsidRPr="008B49E2">
              <w:rPr>
                <w:color w:val="auto"/>
                <w:lang w:bidi="ar-SA"/>
              </w:rPr>
              <w:noBreakHyphen/>
              <w:t xml:space="preserve">3 LC PUFA </w:t>
            </w:r>
            <w:r w:rsidR="00BA0F72">
              <w:rPr>
                <w:color w:val="auto"/>
                <w:lang w:bidi="ar-SA"/>
              </w:rPr>
              <w:t>(</w:t>
            </w:r>
            <w:r w:rsidRPr="008B49E2">
              <w:rPr>
                <w:color w:val="auto"/>
                <w:lang w:bidi="ar-SA"/>
              </w:rPr>
              <w:t>g/day</w:t>
            </w:r>
            <w:r w:rsidR="00BA0F72">
              <w:rPr>
                <w:color w:val="auto"/>
                <w:lang w:bidi="ar-SA"/>
              </w:rPr>
              <w:t>)</w:t>
            </w:r>
            <w:r w:rsidRPr="008B49E2">
              <w:rPr>
                <w:color w:val="auto"/>
                <w:vertAlign w:val="superscript"/>
                <w:lang w:bidi="ar-SA"/>
              </w:rPr>
              <w:t>2</w:t>
            </w:r>
          </w:p>
        </w:tc>
        <w:tc>
          <w:tcPr>
            <w:tcW w:w="682" w:type="pct"/>
            <w:tcBorders>
              <w:bottom w:val="single" w:sz="4" w:space="0" w:color="auto"/>
            </w:tcBorders>
            <w:hideMark/>
          </w:tcPr>
          <w:p w14:paraId="21EF2BE9" w14:textId="7C65CA54" w:rsidR="00F73311" w:rsidRPr="008B49E2" w:rsidRDefault="00BA0F72"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Pr>
                <w:color w:val="auto"/>
                <w:lang w:bidi="ar-SA"/>
              </w:rPr>
              <w:t>Potential predicted</w:t>
            </w:r>
            <w:r w:rsidRPr="008B49E2">
              <w:rPr>
                <w:color w:val="auto"/>
                <w:lang w:bidi="ar-SA"/>
              </w:rPr>
              <w:t xml:space="preserve"> </w:t>
            </w:r>
            <w:r w:rsidR="00F73311" w:rsidRPr="008B49E2">
              <w:rPr>
                <w:color w:val="auto"/>
                <w:lang w:bidi="ar-SA"/>
              </w:rPr>
              <w:t xml:space="preserve">n-3 LC-PUFA intake </w:t>
            </w:r>
            <w:r>
              <w:rPr>
                <w:color w:val="auto"/>
                <w:lang w:bidi="ar-SA"/>
              </w:rPr>
              <w:t>(</w:t>
            </w:r>
            <w:r w:rsidR="00F73311" w:rsidRPr="008B49E2">
              <w:rPr>
                <w:color w:val="auto"/>
                <w:lang w:bidi="ar-SA"/>
              </w:rPr>
              <w:t>g/day</w:t>
            </w:r>
            <w:r>
              <w:rPr>
                <w:color w:val="auto"/>
                <w:lang w:bidi="ar-SA"/>
              </w:rPr>
              <w:t>)</w:t>
            </w:r>
          </w:p>
        </w:tc>
        <w:tc>
          <w:tcPr>
            <w:tcW w:w="555" w:type="pct"/>
            <w:tcBorders>
              <w:bottom w:val="single" w:sz="4" w:space="0" w:color="auto"/>
            </w:tcBorders>
            <w:hideMark/>
          </w:tcPr>
          <w:p w14:paraId="6F744D87" w14:textId="088DE433" w:rsidR="00F73311" w:rsidRPr="008B49E2" w:rsidRDefault="00F73311" w:rsidP="003266D8">
            <w:pPr>
              <w:jc w:val="center"/>
              <w:cnfStyle w:val="100000000000" w:firstRow="1" w:lastRow="0" w:firstColumn="0" w:lastColumn="0" w:oddVBand="0" w:evenVBand="0" w:oddHBand="0" w:evenHBand="0" w:firstRowFirstColumn="0" w:firstRowLastColumn="0" w:lastRowFirstColumn="0" w:lastRowLastColumn="0"/>
              <w:rPr>
                <w:color w:val="auto"/>
                <w:lang w:bidi="ar-SA"/>
              </w:rPr>
            </w:pPr>
            <w:r w:rsidRPr="008B49E2">
              <w:rPr>
                <w:color w:val="auto"/>
                <w:lang w:bidi="ar-SA"/>
              </w:rPr>
              <w:t xml:space="preserve">% of </w:t>
            </w:r>
            <w:r w:rsidR="003266D8" w:rsidRPr="008B49E2">
              <w:rPr>
                <w:color w:val="auto"/>
                <w:lang w:bidi="ar-SA"/>
              </w:rPr>
              <w:t>UL</w:t>
            </w:r>
          </w:p>
        </w:tc>
      </w:tr>
      <w:tr w:rsidR="00F73311" w:rsidRPr="007F0A79" w14:paraId="7B780537" w14:textId="77777777" w:rsidTr="00BA0F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single" w:sz="4" w:space="0" w:color="auto"/>
              <w:left w:val="single" w:sz="4" w:space="0" w:color="auto"/>
              <w:bottom w:val="single" w:sz="4" w:space="0" w:color="auto"/>
              <w:right w:val="single" w:sz="4" w:space="0" w:color="auto"/>
            </w:tcBorders>
            <w:noWrap/>
            <w:hideMark/>
          </w:tcPr>
          <w:p w14:paraId="34960358" w14:textId="77777777" w:rsidR="00F73311" w:rsidRPr="008B49E2" w:rsidRDefault="00F73311" w:rsidP="003266D8">
            <w:pPr>
              <w:jc w:val="center"/>
              <w:rPr>
                <w:b w:val="0"/>
                <w:lang w:bidi="ar-SA"/>
              </w:rPr>
            </w:pPr>
            <w:r w:rsidRPr="008B49E2">
              <w:rPr>
                <w:b w:val="0"/>
                <w:lang w:bidi="ar-SA"/>
              </w:rPr>
              <w:t>5-8</w:t>
            </w:r>
          </w:p>
        </w:tc>
        <w:tc>
          <w:tcPr>
            <w:tcW w:w="549" w:type="pct"/>
            <w:tcBorders>
              <w:top w:val="single" w:sz="4" w:space="0" w:color="auto"/>
              <w:left w:val="single" w:sz="4" w:space="0" w:color="auto"/>
              <w:bottom w:val="single" w:sz="4" w:space="0" w:color="auto"/>
              <w:right w:val="single" w:sz="4" w:space="0" w:color="auto"/>
            </w:tcBorders>
            <w:noWrap/>
            <w:hideMark/>
          </w:tcPr>
          <w:p w14:paraId="7A0B217B"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67" w:type="pct"/>
            <w:tcBorders>
              <w:top w:val="single" w:sz="4" w:space="0" w:color="auto"/>
              <w:left w:val="single" w:sz="4" w:space="0" w:color="auto"/>
              <w:bottom w:val="single" w:sz="4" w:space="0" w:color="auto"/>
              <w:right w:val="single" w:sz="4" w:space="0" w:color="auto"/>
            </w:tcBorders>
            <w:noWrap/>
            <w:hideMark/>
          </w:tcPr>
          <w:p w14:paraId="181055B6" w14:textId="77777777" w:rsidR="00F73311" w:rsidRPr="008B49E2" w:rsidRDefault="00F73311" w:rsidP="00BA0F72">
            <w:pPr>
              <w:tabs>
                <w:tab w:val="decimal" w:pos="201"/>
              </w:tabs>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8.8</w:t>
            </w:r>
          </w:p>
        </w:tc>
        <w:tc>
          <w:tcPr>
            <w:tcW w:w="1006" w:type="pct"/>
            <w:tcBorders>
              <w:top w:val="single" w:sz="4" w:space="0" w:color="auto"/>
              <w:left w:val="single" w:sz="4" w:space="0" w:color="auto"/>
              <w:bottom w:val="single" w:sz="4" w:space="0" w:color="auto"/>
              <w:right w:val="single" w:sz="4" w:space="0" w:color="auto"/>
            </w:tcBorders>
            <w:noWrap/>
            <w:hideMark/>
          </w:tcPr>
          <w:p w14:paraId="45B4DB7E"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0.771</w:t>
            </w:r>
          </w:p>
        </w:tc>
        <w:tc>
          <w:tcPr>
            <w:tcW w:w="786" w:type="pct"/>
            <w:tcBorders>
              <w:top w:val="single" w:sz="4" w:space="0" w:color="auto"/>
              <w:left w:val="single" w:sz="4" w:space="0" w:color="auto"/>
              <w:bottom w:val="single" w:sz="4" w:space="0" w:color="auto"/>
              <w:right w:val="single" w:sz="4" w:space="0" w:color="auto"/>
            </w:tcBorders>
            <w:noWrap/>
            <w:hideMark/>
          </w:tcPr>
          <w:p w14:paraId="46554957"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0.098</w:t>
            </w:r>
          </w:p>
        </w:tc>
        <w:tc>
          <w:tcPr>
            <w:tcW w:w="682" w:type="pct"/>
            <w:tcBorders>
              <w:top w:val="single" w:sz="4" w:space="0" w:color="auto"/>
              <w:left w:val="single" w:sz="4" w:space="0" w:color="auto"/>
              <w:bottom w:val="single" w:sz="4" w:space="0" w:color="auto"/>
              <w:right w:val="single" w:sz="4" w:space="0" w:color="auto"/>
            </w:tcBorders>
            <w:noWrap/>
            <w:hideMark/>
          </w:tcPr>
          <w:p w14:paraId="50EB5CE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0.869</w:t>
            </w:r>
          </w:p>
        </w:tc>
        <w:tc>
          <w:tcPr>
            <w:tcW w:w="555" w:type="pct"/>
            <w:tcBorders>
              <w:top w:val="single" w:sz="4" w:space="0" w:color="auto"/>
              <w:left w:val="single" w:sz="4" w:space="0" w:color="auto"/>
              <w:bottom w:val="single" w:sz="4" w:space="0" w:color="auto"/>
              <w:right w:val="single" w:sz="4" w:space="0" w:color="auto"/>
            </w:tcBorders>
            <w:noWrap/>
            <w:hideMark/>
          </w:tcPr>
          <w:p w14:paraId="7058030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29</w:t>
            </w:r>
          </w:p>
        </w:tc>
      </w:tr>
      <w:tr w:rsidR="00F73311" w:rsidRPr="007F0A79" w14:paraId="379289EE" w14:textId="77777777" w:rsidTr="00BA0F72">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top w:val="single" w:sz="4" w:space="0" w:color="auto"/>
              <w:left w:val="single" w:sz="4" w:space="0" w:color="auto"/>
              <w:bottom w:val="single" w:sz="4" w:space="0" w:color="auto"/>
              <w:right w:val="single" w:sz="4" w:space="0" w:color="auto"/>
            </w:tcBorders>
            <w:hideMark/>
          </w:tcPr>
          <w:p w14:paraId="466D16AD" w14:textId="77777777" w:rsidR="00F73311" w:rsidRPr="008B49E2" w:rsidRDefault="00F73311" w:rsidP="003266D8">
            <w:pPr>
              <w:jc w:val="center"/>
              <w:rPr>
                <w:b w:val="0"/>
                <w:lang w:bidi="ar-SA"/>
              </w:rPr>
            </w:pPr>
          </w:p>
        </w:tc>
        <w:tc>
          <w:tcPr>
            <w:tcW w:w="549" w:type="pct"/>
            <w:tcBorders>
              <w:top w:val="single" w:sz="4" w:space="0" w:color="auto"/>
              <w:left w:val="single" w:sz="4" w:space="0" w:color="auto"/>
              <w:bottom w:val="single" w:sz="4" w:space="0" w:color="auto"/>
              <w:right w:val="single" w:sz="4" w:space="0" w:color="auto"/>
            </w:tcBorders>
            <w:noWrap/>
            <w:hideMark/>
          </w:tcPr>
          <w:p w14:paraId="620BC2E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67" w:type="pct"/>
            <w:tcBorders>
              <w:top w:val="single" w:sz="4" w:space="0" w:color="auto"/>
              <w:left w:val="single" w:sz="4" w:space="0" w:color="auto"/>
              <w:bottom w:val="single" w:sz="4" w:space="0" w:color="auto"/>
              <w:right w:val="single" w:sz="4" w:space="0" w:color="auto"/>
            </w:tcBorders>
            <w:noWrap/>
            <w:hideMark/>
          </w:tcPr>
          <w:p w14:paraId="784068B6" w14:textId="77777777" w:rsidR="00F73311" w:rsidRPr="008B49E2" w:rsidRDefault="00F73311" w:rsidP="00BA0F72">
            <w:pPr>
              <w:tabs>
                <w:tab w:val="decimal" w:pos="201"/>
              </w:tabs>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9.6</w:t>
            </w:r>
          </w:p>
        </w:tc>
        <w:tc>
          <w:tcPr>
            <w:tcW w:w="1006" w:type="pct"/>
            <w:tcBorders>
              <w:top w:val="single" w:sz="4" w:space="0" w:color="auto"/>
              <w:left w:val="single" w:sz="4" w:space="0" w:color="auto"/>
              <w:bottom w:val="single" w:sz="4" w:space="0" w:color="auto"/>
              <w:right w:val="single" w:sz="4" w:space="0" w:color="auto"/>
            </w:tcBorders>
            <w:noWrap/>
            <w:hideMark/>
          </w:tcPr>
          <w:p w14:paraId="59FDFDAF"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0.841</w:t>
            </w:r>
          </w:p>
        </w:tc>
        <w:tc>
          <w:tcPr>
            <w:tcW w:w="786" w:type="pct"/>
            <w:tcBorders>
              <w:top w:val="single" w:sz="4" w:space="0" w:color="auto"/>
              <w:left w:val="single" w:sz="4" w:space="0" w:color="auto"/>
              <w:bottom w:val="single" w:sz="4" w:space="0" w:color="auto"/>
              <w:right w:val="single" w:sz="4" w:space="0" w:color="auto"/>
            </w:tcBorders>
            <w:noWrap/>
            <w:hideMark/>
          </w:tcPr>
          <w:p w14:paraId="7FFA0E3E"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0.103</w:t>
            </w:r>
          </w:p>
        </w:tc>
        <w:tc>
          <w:tcPr>
            <w:tcW w:w="682" w:type="pct"/>
            <w:tcBorders>
              <w:top w:val="single" w:sz="4" w:space="0" w:color="auto"/>
              <w:left w:val="single" w:sz="4" w:space="0" w:color="auto"/>
              <w:bottom w:val="single" w:sz="4" w:space="0" w:color="auto"/>
              <w:right w:val="single" w:sz="4" w:space="0" w:color="auto"/>
            </w:tcBorders>
            <w:noWrap/>
            <w:hideMark/>
          </w:tcPr>
          <w:p w14:paraId="37016167"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0.944</w:t>
            </w:r>
          </w:p>
        </w:tc>
        <w:tc>
          <w:tcPr>
            <w:tcW w:w="555" w:type="pct"/>
            <w:tcBorders>
              <w:top w:val="single" w:sz="4" w:space="0" w:color="auto"/>
              <w:left w:val="single" w:sz="4" w:space="0" w:color="auto"/>
              <w:bottom w:val="single" w:sz="4" w:space="0" w:color="auto"/>
              <w:right w:val="single" w:sz="4" w:space="0" w:color="auto"/>
            </w:tcBorders>
            <w:noWrap/>
            <w:hideMark/>
          </w:tcPr>
          <w:p w14:paraId="4B027014"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31</w:t>
            </w:r>
          </w:p>
        </w:tc>
      </w:tr>
      <w:tr w:rsidR="00F73311" w:rsidRPr="007F0A79" w14:paraId="6E891012" w14:textId="77777777" w:rsidTr="00BA0F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0BC24110" w14:textId="77777777" w:rsidR="00F73311" w:rsidRPr="008B49E2" w:rsidRDefault="00F73311" w:rsidP="003266D8">
            <w:pPr>
              <w:jc w:val="center"/>
              <w:rPr>
                <w:b w:val="0"/>
                <w:lang w:bidi="ar-SA"/>
              </w:rPr>
            </w:pPr>
            <w:r w:rsidRPr="008B49E2">
              <w:rPr>
                <w:b w:val="0"/>
                <w:lang w:bidi="ar-SA"/>
              </w:rPr>
              <w:t>9-13</w:t>
            </w:r>
          </w:p>
        </w:tc>
        <w:tc>
          <w:tcPr>
            <w:tcW w:w="549"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646AEDF"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6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50AF735B" w14:textId="77777777" w:rsidR="00F73311" w:rsidRPr="008B49E2" w:rsidRDefault="00F73311" w:rsidP="00BA0F72">
            <w:pPr>
              <w:tabs>
                <w:tab w:val="decimal" w:pos="201"/>
              </w:tabs>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10.5</w:t>
            </w:r>
          </w:p>
        </w:tc>
        <w:tc>
          <w:tcPr>
            <w:tcW w:w="100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75E95BCC"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0.926</w:t>
            </w:r>
          </w:p>
        </w:tc>
        <w:tc>
          <w:tcPr>
            <w:tcW w:w="78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47396F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0.162</w:t>
            </w:r>
          </w:p>
        </w:tc>
        <w:tc>
          <w:tcPr>
            <w:tcW w:w="682"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1739DA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1.088</w:t>
            </w:r>
          </w:p>
        </w:tc>
        <w:tc>
          <w:tcPr>
            <w:tcW w:w="55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B740FA5"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36</w:t>
            </w:r>
          </w:p>
        </w:tc>
      </w:tr>
      <w:tr w:rsidR="00F73311" w:rsidRPr="007F0A79" w14:paraId="66A19771" w14:textId="77777777" w:rsidTr="00BA0F72">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B3A684B" w14:textId="77777777" w:rsidR="00F73311" w:rsidRPr="008B49E2" w:rsidRDefault="00F73311" w:rsidP="003266D8">
            <w:pPr>
              <w:jc w:val="center"/>
              <w:rPr>
                <w:b w:val="0"/>
                <w:lang w:bidi="ar-SA"/>
              </w:rPr>
            </w:pPr>
          </w:p>
        </w:tc>
        <w:tc>
          <w:tcPr>
            <w:tcW w:w="549"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2ABFD280"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6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BFB3665" w14:textId="77777777" w:rsidR="00F73311" w:rsidRPr="008B49E2" w:rsidRDefault="00F73311" w:rsidP="00BA0F72">
            <w:pPr>
              <w:tabs>
                <w:tab w:val="decimal" w:pos="201"/>
              </w:tabs>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12.2</w:t>
            </w:r>
          </w:p>
        </w:tc>
        <w:tc>
          <w:tcPr>
            <w:tcW w:w="100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0F627585"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1.075</w:t>
            </w:r>
          </w:p>
        </w:tc>
        <w:tc>
          <w:tcPr>
            <w:tcW w:w="78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4F4324F7"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0.176</w:t>
            </w:r>
          </w:p>
        </w:tc>
        <w:tc>
          <w:tcPr>
            <w:tcW w:w="682"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5DEDF3AA"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1.251</w:t>
            </w:r>
          </w:p>
        </w:tc>
        <w:tc>
          <w:tcPr>
            <w:tcW w:w="55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0CA9BC18"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42</w:t>
            </w:r>
          </w:p>
        </w:tc>
      </w:tr>
      <w:tr w:rsidR="00F73311" w:rsidRPr="007F0A79" w14:paraId="3FA53490" w14:textId="77777777" w:rsidTr="00BA0F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single" w:sz="4" w:space="0" w:color="auto"/>
              <w:left w:val="single" w:sz="4" w:space="0" w:color="auto"/>
              <w:bottom w:val="single" w:sz="4" w:space="0" w:color="auto"/>
              <w:right w:val="single" w:sz="4" w:space="0" w:color="auto"/>
            </w:tcBorders>
            <w:noWrap/>
            <w:hideMark/>
          </w:tcPr>
          <w:p w14:paraId="603BC921" w14:textId="77777777" w:rsidR="00F73311" w:rsidRPr="008B49E2" w:rsidRDefault="00F73311" w:rsidP="003266D8">
            <w:pPr>
              <w:jc w:val="center"/>
              <w:rPr>
                <w:b w:val="0"/>
                <w:lang w:bidi="ar-SA"/>
              </w:rPr>
            </w:pPr>
            <w:r w:rsidRPr="008B49E2">
              <w:rPr>
                <w:b w:val="0"/>
                <w:lang w:bidi="ar-SA"/>
              </w:rPr>
              <w:t>14</w:t>
            </w:r>
          </w:p>
        </w:tc>
        <w:tc>
          <w:tcPr>
            <w:tcW w:w="549" w:type="pct"/>
            <w:tcBorders>
              <w:top w:val="single" w:sz="4" w:space="0" w:color="auto"/>
              <w:left w:val="single" w:sz="4" w:space="0" w:color="auto"/>
              <w:bottom w:val="single" w:sz="4" w:space="0" w:color="auto"/>
              <w:right w:val="single" w:sz="4" w:space="0" w:color="auto"/>
            </w:tcBorders>
            <w:noWrap/>
            <w:hideMark/>
          </w:tcPr>
          <w:p w14:paraId="709FD33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67" w:type="pct"/>
            <w:tcBorders>
              <w:top w:val="single" w:sz="4" w:space="0" w:color="auto"/>
              <w:left w:val="single" w:sz="4" w:space="0" w:color="auto"/>
              <w:bottom w:val="single" w:sz="4" w:space="0" w:color="auto"/>
              <w:right w:val="single" w:sz="4" w:space="0" w:color="auto"/>
            </w:tcBorders>
            <w:noWrap/>
            <w:hideMark/>
          </w:tcPr>
          <w:p w14:paraId="3E77228D" w14:textId="77777777" w:rsidR="00F73311" w:rsidRPr="008B49E2" w:rsidRDefault="00F73311" w:rsidP="00BA0F72">
            <w:pPr>
              <w:tabs>
                <w:tab w:val="decimal" w:pos="201"/>
              </w:tabs>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10.3</w:t>
            </w:r>
          </w:p>
        </w:tc>
        <w:tc>
          <w:tcPr>
            <w:tcW w:w="1006" w:type="pct"/>
            <w:tcBorders>
              <w:top w:val="single" w:sz="4" w:space="0" w:color="auto"/>
              <w:left w:val="single" w:sz="4" w:space="0" w:color="auto"/>
              <w:bottom w:val="single" w:sz="4" w:space="0" w:color="auto"/>
              <w:right w:val="single" w:sz="4" w:space="0" w:color="auto"/>
            </w:tcBorders>
            <w:noWrap/>
            <w:hideMark/>
          </w:tcPr>
          <w:p w14:paraId="7B7543FA"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0.909</w:t>
            </w:r>
          </w:p>
        </w:tc>
        <w:tc>
          <w:tcPr>
            <w:tcW w:w="786" w:type="pct"/>
            <w:tcBorders>
              <w:top w:val="single" w:sz="4" w:space="0" w:color="auto"/>
              <w:left w:val="single" w:sz="4" w:space="0" w:color="auto"/>
              <w:bottom w:val="single" w:sz="4" w:space="0" w:color="auto"/>
              <w:right w:val="single" w:sz="4" w:space="0" w:color="auto"/>
            </w:tcBorders>
            <w:noWrap/>
            <w:hideMark/>
          </w:tcPr>
          <w:p w14:paraId="5CBDB5F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0.179</w:t>
            </w:r>
          </w:p>
        </w:tc>
        <w:tc>
          <w:tcPr>
            <w:tcW w:w="682" w:type="pct"/>
            <w:tcBorders>
              <w:top w:val="single" w:sz="4" w:space="0" w:color="auto"/>
              <w:left w:val="single" w:sz="4" w:space="0" w:color="auto"/>
              <w:bottom w:val="single" w:sz="4" w:space="0" w:color="auto"/>
              <w:right w:val="single" w:sz="4" w:space="0" w:color="auto"/>
            </w:tcBorders>
            <w:noWrap/>
            <w:hideMark/>
          </w:tcPr>
          <w:p w14:paraId="74FAD783"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1.088</w:t>
            </w:r>
          </w:p>
        </w:tc>
        <w:tc>
          <w:tcPr>
            <w:tcW w:w="555" w:type="pct"/>
            <w:tcBorders>
              <w:top w:val="single" w:sz="4" w:space="0" w:color="auto"/>
              <w:left w:val="single" w:sz="4" w:space="0" w:color="auto"/>
              <w:bottom w:val="single" w:sz="4" w:space="0" w:color="auto"/>
              <w:right w:val="single" w:sz="4" w:space="0" w:color="auto"/>
            </w:tcBorders>
            <w:noWrap/>
            <w:hideMark/>
          </w:tcPr>
          <w:p w14:paraId="562AB66C"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36</w:t>
            </w:r>
          </w:p>
        </w:tc>
      </w:tr>
      <w:tr w:rsidR="00F73311" w:rsidRPr="007F0A79" w14:paraId="51CCF2FB" w14:textId="77777777" w:rsidTr="00BA0F72">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top w:val="single" w:sz="4" w:space="0" w:color="auto"/>
              <w:left w:val="single" w:sz="4" w:space="0" w:color="auto"/>
              <w:bottom w:val="single" w:sz="4" w:space="0" w:color="auto"/>
              <w:right w:val="single" w:sz="4" w:space="0" w:color="auto"/>
            </w:tcBorders>
            <w:hideMark/>
          </w:tcPr>
          <w:p w14:paraId="3FDE3E4C" w14:textId="77777777" w:rsidR="00F73311" w:rsidRPr="008B49E2" w:rsidRDefault="00F73311" w:rsidP="003266D8">
            <w:pPr>
              <w:jc w:val="center"/>
              <w:rPr>
                <w:b w:val="0"/>
                <w:lang w:bidi="ar-SA"/>
              </w:rPr>
            </w:pPr>
          </w:p>
        </w:tc>
        <w:tc>
          <w:tcPr>
            <w:tcW w:w="549" w:type="pct"/>
            <w:tcBorders>
              <w:top w:val="single" w:sz="4" w:space="0" w:color="auto"/>
              <w:left w:val="single" w:sz="4" w:space="0" w:color="auto"/>
              <w:bottom w:val="single" w:sz="4" w:space="0" w:color="auto"/>
              <w:right w:val="single" w:sz="4" w:space="0" w:color="auto"/>
            </w:tcBorders>
            <w:noWrap/>
            <w:hideMark/>
          </w:tcPr>
          <w:p w14:paraId="4C08B61C"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67" w:type="pct"/>
            <w:tcBorders>
              <w:top w:val="single" w:sz="4" w:space="0" w:color="auto"/>
              <w:left w:val="single" w:sz="4" w:space="0" w:color="auto"/>
              <w:bottom w:val="single" w:sz="4" w:space="0" w:color="auto"/>
              <w:right w:val="single" w:sz="4" w:space="0" w:color="auto"/>
            </w:tcBorders>
            <w:noWrap/>
            <w:hideMark/>
          </w:tcPr>
          <w:p w14:paraId="053F3B79" w14:textId="77777777" w:rsidR="00F73311" w:rsidRPr="008B49E2" w:rsidRDefault="00F73311" w:rsidP="00BA0F72">
            <w:pPr>
              <w:tabs>
                <w:tab w:val="decimal" w:pos="201"/>
              </w:tabs>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13.7</w:t>
            </w:r>
          </w:p>
        </w:tc>
        <w:tc>
          <w:tcPr>
            <w:tcW w:w="1006" w:type="pct"/>
            <w:tcBorders>
              <w:top w:val="single" w:sz="4" w:space="0" w:color="auto"/>
              <w:left w:val="single" w:sz="4" w:space="0" w:color="auto"/>
              <w:bottom w:val="single" w:sz="4" w:space="0" w:color="auto"/>
              <w:right w:val="single" w:sz="4" w:space="0" w:color="auto"/>
            </w:tcBorders>
            <w:noWrap/>
            <w:hideMark/>
          </w:tcPr>
          <w:p w14:paraId="65D948A0"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1.202</w:t>
            </w:r>
          </w:p>
        </w:tc>
        <w:tc>
          <w:tcPr>
            <w:tcW w:w="786" w:type="pct"/>
            <w:tcBorders>
              <w:top w:val="single" w:sz="4" w:space="0" w:color="auto"/>
              <w:left w:val="single" w:sz="4" w:space="0" w:color="auto"/>
              <w:bottom w:val="single" w:sz="4" w:space="0" w:color="auto"/>
              <w:right w:val="single" w:sz="4" w:space="0" w:color="auto"/>
            </w:tcBorders>
            <w:noWrap/>
            <w:hideMark/>
          </w:tcPr>
          <w:p w14:paraId="5BC420C1"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0.206</w:t>
            </w:r>
          </w:p>
        </w:tc>
        <w:tc>
          <w:tcPr>
            <w:tcW w:w="682" w:type="pct"/>
            <w:tcBorders>
              <w:top w:val="single" w:sz="4" w:space="0" w:color="auto"/>
              <w:left w:val="single" w:sz="4" w:space="0" w:color="auto"/>
              <w:bottom w:val="single" w:sz="4" w:space="0" w:color="auto"/>
              <w:right w:val="single" w:sz="4" w:space="0" w:color="auto"/>
            </w:tcBorders>
            <w:noWrap/>
            <w:hideMark/>
          </w:tcPr>
          <w:p w14:paraId="0E2964E8"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1.408</w:t>
            </w:r>
          </w:p>
        </w:tc>
        <w:tc>
          <w:tcPr>
            <w:tcW w:w="555" w:type="pct"/>
            <w:tcBorders>
              <w:top w:val="single" w:sz="4" w:space="0" w:color="auto"/>
              <w:left w:val="single" w:sz="4" w:space="0" w:color="auto"/>
              <w:bottom w:val="single" w:sz="4" w:space="0" w:color="auto"/>
              <w:right w:val="single" w:sz="4" w:space="0" w:color="auto"/>
            </w:tcBorders>
            <w:noWrap/>
            <w:hideMark/>
          </w:tcPr>
          <w:p w14:paraId="6510D51F"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47</w:t>
            </w:r>
          </w:p>
        </w:tc>
      </w:tr>
      <w:tr w:rsidR="00F73311" w:rsidRPr="007F0A79" w14:paraId="4775D9D4" w14:textId="77777777" w:rsidTr="00BA0F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E927687" w14:textId="77777777" w:rsidR="00F73311" w:rsidRPr="008B49E2" w:rsidRDefault="00F73311" w:rsidP="003266D8">
            <w:pPr>
              <w:jc w:val="center"/>
              <w:rPr>
                <w:b w:val="0"/>
                <w:lang w:bidi="ar-SA"/>
              </w:rPr>
            </w:pPr>
            <w:r w:rsidRPr="008B49E2">
              <w:rPr>
                <w:b w:val="0"/>
                <w:lang w:bidi="ar-SA"/>
              </w:rPr>
              <w:t>15-18</w:t>
            </w:r>
          </w:p>
        </w:tc>
        <w:tc>
          <w:tcPr>
            <w:tcW w:w="549"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3D9EFBD"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6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2ACEDF35" w14:textId="77777777" w:rsidR="00F73311" w:rsidRPr="008B49E2" w:rsidRDefault="00F73311" w:rsidP="00BA0F72">
            <w:pPr>
              <w:tabs>
                <w:tab w:val="decimal" w:pos="201"/>
              </w:tabs>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9.8</w:t>
            </w:r>
          </w:p>
        </w:tc>
        <w:tc>
          <w:tcPr>
            <w:tcW w:w="100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5D55BAE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0.860</w:t>
            </w:r>
          </w:p>
        </w:tc>
        <w:tc>
          <w:tcPr>
            <w:tcW w:w="78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CF0618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0.179</w:t>
            </w:r>
          </w:p>
        </w:tc>
        <w:tc>
          <w:tcPr>
            <w:tcW w:w="682"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6CD931B5"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1.039</w:t>
            </w:r>
          </w:p>
        </w:tc>
        <w:tc>
          <w:tcPr>
            <w:tcW w:w="55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6354CE2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35</w:t>
            </w:r>
          </w:p>
        </w:tc>
      </w:tr>
      <w:tr w:rsidR="00F73311" w:rsidRPr="007F0A79" w14:paraId="7CAD38E8" w14:textId="77777777" w:rsidTr="00BA0F72">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F32792E" w14:textId="77777777" w:rsidR="00F73311" w:rsidRPr="008B49E2" w:rsidRDefault="00F73311" w:rsidP="003266D8">
            <w:pPr>
              <w:jc w:val="center"/>
              <w:rPr>
                <w:b w:val="0"/>
                <w:lang w:bidi="ar-SA"/>
              </w:rPr>
            </w:pPr>
          </w:p>
        </w:tc>
        <w:tc>
          <w:tcPr>
            <w:tcW w:w="549"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E5F810D"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6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50E6910F" w14:textId="77777777" w:rsidR="00F73311" w:rsidRPr="008B49E2" w:rsidRDefault="00F73311" w:rsidP="00BA0F72">
            <w:pPr>
              <w:tabs>
                <w:tab w:val="decimal" w:pos="201"/>
              </w:tabs>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14.2</w:t>
            </w:r>
          </w:p>
        </w:tc>
        <w:tc>
          <w:tcPr>
            <w:tcW w:w="100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857D546"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1.250</w:t>
            </w:r>
          </w:p>
        </w:tc>
        <w:tc>
          <w:tcPr>
            <w:tcW w:w="78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C9DBCB1"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0.206</w:t>
            </w:r>
          </w:p>
        </w:tc>
        <w:tc>
          <w:tcPr>
            <w:tcW w:w="682"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6A5C991B"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1.456</w:t>
            </w:r>
          </w:p>
        </w:tc>
        <w:tc>
          <w:tcPr>
            <w:tcW w:w="55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7D6A9398"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49</w:t>
            </w:r>
          </w:p>
        </w:tc>
      </w:tr>
      <w:tr w:rsidR="00F73311" w:rsidRPr="007F0A79" w14:paraId="469E2F1F" w14:textId="77777777" w:rsidTr="00BA0F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single" w:sz="4" w:space="0" w:color="auto"/>
              <w:left w:val="single" w:sz="4" w:space="0" w:color="auto"/>
              <w:bottom w:val="single" w:sz="4" w:space="0" w:color="auto"/>
              <w:right w:val="single" w:sz="4" w:space="0" w:color="auto"/>
            </w:tcBorders>
            <w:noWrap/>
            <w:hideMark/>
          </w:tcPr>
          <w:p w14:paraId="1C6D24E1" w14:textId="77777777" w:rsidR="00F73311" w:rsidRPr="008B49E2" w:rsidRDefault="00F73311" w:rsidP="003266D8">
            <w:pPr>
              <w:jc w:val="center"/>
              <w:rPr>
                <w:b w:val="0"/>
                <w:lang w:bidi="ar-SA"/>
              </w:rPr>
            </w:pPr>
            <w:r w:rsidRPr="008B49E2">
              <w:rPr>
                <w:b w:val="0"/>
                <w:lang w:bidi="ar-SA"/>
              </w:rPr>
              <w:t>19-30</w:t>
            </w:r>
          </w:p>
        </w:tc>
        <w:tc>
          <w:tcPr>
            <w:tcW w:w="549" w:type="pct"/>
            <w:tcBorders>
              <w:top w:val="single" w:sz="4" w:space="0" w:color="auto"/>
              <w:left w:val="single" w:sz="4" w:space="0" w:color="auto"/>
              <w:bottom w:val="single" w:sz="4" w:space="0" w:color="auto"/>
              <w:right w:val="single" w:sz="4" w:space="0" w:color="auto"/>
            </w:tcBorders>
            <w:noWrap/>
            <w:hideMark/>
          </w:tcPr>
          <w:p w14:paraId="222C845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67" w:type="pct"/>
            <w:tcBorders>
              <w:top w:val="single" w:sz="4" w:space="0" w:color="auto"/>
              <w:left w:val="single" w:sz="4" w:space="0" w:color="auto"/>
              <w:bottom w:val="single" w:sz="4" w:space="0" w:color="auto"/>
              <w:right w:val="single" w:sz="4" w:space="0" w:color="auto"/>
            </w:tcBorders>
            <w:noWrap/>
            <w:hideMark/>
          </w:tcPr>
          <w:p w14:paraId="20DCA9DC" w14:textId="77777777" w:rsidR="00F73311" w:rsidRPr="008B49E2" w:rsidRDefault="00F73311" w:rsidP="00BA0F72">
            <w:pPr>
              <w:tabs>
                <w:tab w:val="decimal" w:pos="201"/>
              </w:tabs>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10.8</w:t>
            </w:r>
          </w:p>
        </w:tc>
        <w:tc>
          <w:tcPr>
            <w:tcW w:w="1006" w:type="pct"/>
            <w:tcBorders>
              <w:top w:val="single" w:sz="4" w:space="0" w:color="auto"/>
              <w:left w:val="single" w:sz="4" w:space="0" w:color="auto"/>
              <w:bottom w:val="single" w:sz="4" w:space="0" w:color="auto"/>
              <w:right w:val="single" w:sz="4" w:space="0" w:color="auto"/>
            </w:tcBorders>
            <w:noWrap/>
            <w:hideMark/>
          </w:tcPr>
          <w:p w14:paraId="4C6D2A9F"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0.953</w:t>
            </w:r>
          </w:p>
        </w:tc>
        <w:tc>
          <w:tcPr>
            <w:tcW w:w="786" w:type="pct"/>
            <w:tcBorders>
              <w:top w:val="single" w:sz="4" w:space="0" w:color="auto"/>
              <w:left w:val="single" w:sz="4" w:space="0" w:color="auto"/>
              <w:bottom w:val="single" w:sz="4" w:space="0" w:color="auto"/>
              <w:right w:val="single" w:sz="4" w:space="0" w:color="auto"/>
            </w:tcBorders>
            <w:noWrap/>
            <w:hideMark/>
          </w:tcPr>
          <w:p w14:paraId="1308FD77"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0.187</w:t>
            </w:r>
          </w:p>
        </w:tc>
        <w:tc>
          <w:tcPr>
            <w:tcW w:w="682" w:type="pct"/>
            <w:tcBorders>
              <w:top w:val="single" w:sz="4" w:space="0" w:color="auto"/>
              <w:left w:val="single" w:sz="4" w:space="0" w:color="auto"/>
              <w:bottom w:val="single" w:sz="4" w:space="0" w:color="auto"/>
              <w:right w:val="single" w:sz="4" w:space="0" w:color="auto"/>
            </w:tcBorders>
            <w:noWrap/>
            <w:hideMark/>
          </w:tcPr>
          <w:p w14:paraId="5AF080B1"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1.140</w:t>
            </w:r>
          </w:p>
        </w:tc>
        <w:tc>
          <w:tcPr>
            <w:tcW w:w="555" w:type="pct"/>
            <w:tcBorders>
              <w:top w:val="single" w:sz="4" w:space="0" w:color="auto"/>
              <w:left w:val="single" w:sz="4" w:space="0" w:color="auto"/>
              <w:bottom w:val="single" w:sz="4" w:space="0" w:color="auto"/>
              <w:right w:val="single" w:sz="4" w:space="0" w:color="auto"/>
            </w:tcBorders>
            <w:noWrap/>
            <w:hideMark/>
          </w:tcPr>
          <w:p w14:paraId="5785E48F"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38</w:t>
            </w:r>
          </w:p>
        </w:tc>
      </w:tr>
      <w:tr w:rsidR="00F73311" w:rsidRPr="007F0A79" w14:paraId="6F129694" w14:textId="77777777" w:rsidTr="00BA0F72">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top w:val="single" w:sz="4" w:space="0" w:color="auto"/>
              <w:left w:val="single" w:sz="4" w:space="0" w:color="auto"/>
              <w:bottom w:val="single" w:sz="4" w:space="0" w:color="auto"/>
              <w:right w:val="single" w:sz="4" w:space="0" w:color="auto"/>
            </w:tcBorders>
            <w:hideMark/>
          </w:tcPr>
          <w:p w14:paraId="3D8284B0" w14:textId="77777777" w:rsidR="00F73311" w:rsidRPr="008B49E2" w:rsidRDefault="00F73311" w:rsidP="003266D8">
            <w:pPr>
              <w:jc w:val="center"/>
              <w:rPr>
                <w:b w:val="0"/>
                <w:lang w:bidi="ar-SA"/>
              </w:rPr>
            </w:pPr>
          </w:p>
        </w:tc>
        <w:tc>
          <w:tcPr>
            <w:tcW w:w="549" w:type="pct"/>
            <w:tcBorders>
              <w:top w:val="single" w:sz="4" w:space="0" w:color="auto"/>
              <w:left w:val="single" w:sz="4" w:space="0" w:color="auto"/>
              <w:bottom w:val="single" w:sz="4" w:space="0" w:color="auto"/>
              <w:right w:val="single" w:sz="4" w:space="0" w:color="auto"/>
            </w:tcBorders>
            <w:noWrap/>
            <w:hideMark/>
          </w:tcPr>
          <w:p w14:paraId="53293844"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67" w:type="pct"/>
            <w:tcBorders>
              <w:top w:val="single" w:sz="4" w:space="0" w:color="auto"/>
              <w:left w:val="single" w:sz="4" w:space="0" w:color="auto"/>
              <w:bottom w:val="single" w:sz="4" w:space="0" w:color="auto"/>
              <w:right w:val="single" w:sz="4" w:space="0" w:color="auto"/>
            </w:tcBorders>
            <w:noWrap/>
            <w:hideMark/>
          </w:tcPr>
          <w:p w14:paraId="6F606ADB" w14:textId="77777777" w:rsidR="00F73311" w:rsidRPr="008B49E2" w:rsidRDefault="00F73311" w:rsidP="00BA0F72">
            <w:pPr>
              <w:tabs>
                <w:tab w:val="decimal" w:pos="201"/>
              </w:tabs>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14.8</w:t>
            </w:r>
          </w:p>
        </w:tc>
        <w:tc>
          <w:tcPr>
            <w:tcW w:w="1006" w:type="pct"/>
            <w:tcBorders>
              <w:top w:val="single" w:sz="4" w:space="0" w:color="auto"/>
              <w:left w:val="single" w:sz="4" w:space="0" w:color="auto"/>
              <w:bottom w:val="single" w:sz="4" w:space="0" w:color="auto"/>
              <w:right w:val="single" w:sz="4" w:space="0" w:color="auto"/>
            </w:tcBorders>
            <w:noWrap/>
            <w:hideMark/>
          </w:tcPr>
          <w:p w14:paraId="60F051D0"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1.301</w:t>
            </w:r>
          </w:p>
        </w:tc>
        <w:tc>
          <w:tcPr>
            <w:tcW w:w="786" w:type="pct"/>
            <w:tcBorders>
              <w:top w:val="single" w:sz="4" w:space="0" w:color="auto"/>
              <w:left w:val="single" w:sz="4" w:space="0" w:color="auto"/>
              <w:bottom w:val="single" w:sz="4" w:space="0" w:color="auto"/>
              <w:right w:val="single" w:sz="4" w:space="0" w:color="auto"/>
            </w:tcBorders>
            <w:noWrap/>
            <w:hideMark/>
          </w:tcPr>
          <w:p w14:paraId="7E7F74F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0.262</w:t>
            </w:r>
          </w:p>
        </w:tc>
        <w:tc>
          <w:tcPr>
            <w:tcW w:w="682" w:type="pct"/>
            <w:tcBorders>
              <w:top w:val="single" w:sz="4" w:space="0" w:color="auto"/>
              <w:left w:val="single" w:sz="4" w:space="0" w:color="auto"/>
              <w:bottom w:val="single" w:sz="4" w:space="0" w:color="auto"/>
              <w:right w:val="single" w:sz="4" w:space="0" w:color="auto"/>
            </w:tcBorders>
            <w:noWrap/>
            <w:hideMark/>
          </w:tcPr>
          <w:p w14:paraId="7AB666B1"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1.563</w:t>
            </w:r>
          </w:p>
        </w:tc>
        <w:tc>
          <w:tcPr>
            <w:tcW w:w="555" w:type="pct"/>
            <w:tcBorders>
              <w:top w:val="single" w:sz="4" w:space="0" w:color="auto"/>
              <w:left w:val="single" w:sz="4" w:space="0" w:color="auto"/>
              <w:bottom w:val="single" w:sz="4" w:space="0" w:color="auto"/>
              <w:right w:val="single" w:sz="4" w:space="0" w:color="auto"/>
            </w:tcBorders>
            <w:noWrap/>
            <w:hideMark/>
          </w:tcPr>
          <w:p w14:paraId="428E7B07"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52</w:t>
            </w:r>
          </w:p>
        </w:tc>
      </w:tr>
      <w:tr w:rsidR="00F73311" w:rsidRPr="007F0A79" w14:paraId="431B9456" w14:textId="77777777" w:rsidTr="00BA0F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727A034" w14:textId="77777777" w:rsidR="00F73311" w:rsidRPr="008B49E2" w:rsidRDefault="00F73311" w:rsidP="003266D8">
            <w:pPr>
              <w:jc w:val="center"/>
              <w:rPr>
                <w:b w:val="0"/>
                <w:lang w:bidi="ar-SA"/>
              </w:rPr>
            </w:pPr>
            <w:r w:rsidRPr="008B49E2">
              <w:rPr>
                <w:b w:val="0"/>
                <w:lang w:bidi="ar-SA"/>
              </w:rPr>
              <w:t>31-50</w:t>
            </w:r>
          </w:p>
        </w:tc>
        <w:tc>
          <w:tcPr>
            <w:tcW w:w="549"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0639CF39"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6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72CF797F" w14:textId="77777777" w:rsidR="00F73311" w:rsidRPr="008B49E2" w:rsidRDefault="00F73311" w:rsidP="00BA0F72">
            <w:pPr>
              <w:tabs>
                <w:tab w:val="decimal" w:pos="201"/>
              </w:tabs>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9.2</w:t>
            </w:r>
          </w:p>
        </w:tc>
        <w:tc>
          <w:tcPr>
            <w:tcW w:w="100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C74FB65"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0.808</w:t>
            </w:r>
          </w:p>
        </w:tc>
        <w:tc>
          <w:tcPr>
            <w:tcW w:w="78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4EDD07B7"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0.234</w:t>
            </w:r>
          </w:p>
        </w:tc>
        <w:tc>
          <w:tcPr>
            <w:tcW w:w="682"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07DCFE6"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1.042</w:t>
            </w:r>
          </w:p>
        </w:tc>
        <w:tc>
          <w:tcPr>
            <w:tcW w:w="55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459D6AEB"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35</w:t>
            </w:r>
          </w:p>
        </w:tc>
      </w:tr>
      <w:tr w:rsidR="00F73311" w:rsidRPr="007F0A79" w14:paraId="7A15CA3D" w14:textId="77777777" w:rsidTr="00BA0F72">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4166E5A" w14:textId="77777777" w:rsidR="00F73311" w:rsidRPr="008B49E2" w:rsidRDefault="00F73311" w:rsidP="003266D8">
            <w:pPr>
              <w:jc w:val="center"/>
              <w:rPr>
                <w:b w:val="0"/>
                <w:lang w:bidi="ar-SA"/>
              </w:rPr>
            </w:pPr>
          </w:p>
        </w:tc>
        <w:tc>
          <w:tcPr>
            <w:tcW w:w="549"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B9434A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6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FB3FEB2" w14:textId="77777777" w:rsidR="00F73311" w:rsidRPr="008B49E2" w:rsidRDefault="00F73311" w:rsidP="00BA0F72">
            <w:pPr>
              <w:tabs>
                <w:tab w:val="decimal" w:pos="201"/>
              </w:tabs>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15.0</w:t>
            </w:r>
          </w:p>
        </w:tc>
        <w:tc>
          <w:tcPr>
            <w:tcW w:w="100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773ED651"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1.321</w:t>
            </w:r>
          </w:p>
        </w:tc>
        <w:tc>
          <w:tcPr>
            <w:tcW w:w="78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40B0D198"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0.270</w:t>
            </w:r>
          </w:p>
        </w:tc>
        <w:tc>
          <w:tcPr>
            <w:tcW w:w="682"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5A658AE9"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1.591</w:t>
            </w:r>
          </w:p>
        </w:tc>
        <w:tc>
          <w:tcPr>
            <w:tcW w:w="55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048EEC8F"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53</w:t>
            </w:r>
          </w:p>
        </w:tc>
      </w:tr>
      <w:tr w:rsidR="00F73311" w:rsidRPr="007F0A79" w14:paraId="6FC7B20A" w14:textId="77777777" w:rsidTr="00BA0F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single" w:sz="4" w:space="0" w:color="auto"/>
              <w:left w:val="single" w:sz="4" w:space="0" w:color="auto"/>
              <w:bottom w:val="single" w:sz="4" w:space="0" w:color="auto"/>
              <w:right w:val="single" w:sz="4" w:space="0" w:color="auto"/>
            </w:tcBorders>
            <w:noWrap/>
            <w:hideMark/>
          </w:tcPr>
          <w:p w14:paraId="30FC9161" w14:textId="77777777" w:rsidR="00F73311" w:rsidRPr="008B49E2" w:rsidRDefault="00F73311" w:rsidP="003266D8">
            <w:pPr>
              <w:jc w:val="center"/>
              <w:rPr>
                <w:b w:val="0"/>
                <w:lang w:bidi="ar-SA"/>
              </w:rPr>
            </w:pPr>
            <w:r w:rsidRPr="008B49E2">
              <w:rPr>
                <w:b w:val="0"/>
                <w:lang w:bidi="ar-SA"/>
              </w:rPr>
              <w:t>51-70</w:t>
            </w:r>
          </w:p>
        </w:tc>
        <w:tc>
          <w:tcPr>
            <w:tcW w:w="549" w:type="pct"/>
            <w:tcBorders>
              <w:top w:val="single" w:sz="4" w:space="0" w:color="auto"/>
              <w:left w:val="single" w:sz="4" w:space="0" w:color="auto"/>
              <w:bottom w:val="single" w:sz="4" w:space="0" w:color="auto"/>
              <w:right w:val="single" w:sz="4" w:space="0" w:color="auto"/>
            </w:tcBorders>
            <w:noWrap/>
            <w:hideMark/>
          </w:tcPr>
          <w:p w14:paraId="6461FC9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67" w:type="pct"/>
            <w:tcBorders>
              <w:top w:val="single" w:sz="4" w:space="0" w:color="auto"/>
              <w:left w:val="single" w:sz="4" w:space="0" w:color="auto"/>
              <w:bottom w:val="single" w:sz="4" w:space="0" w:color="auto"/>
              <w:right w:val="single" w:sz="4" w:space="0" w:color="auto"/>
            </w:tcBorders>
            <w:noWrap/>
            <w:hideMark/>
          </w:tcPr>
          <w:p w14:paraId="1E244291" w14:textId="77777777" w:rsidR="00F73311" w:rsidRPr="008B49E2" w:rsidRDefault="00F73311" w:rsidP="00BA0F72">
            <w:pPr>
              <w:tabs>
                <w:tab w:val="decimal" w:pos="201"/>
              </w:tabs>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9.3</w:t>
            </w:r>
          </w:p>
        </w:tc>
        <w:tc>
          <w:tcPr>
            <w:tcW w:w="1006" w:type="pct"/>
            <w:tcBorders>
              <w:top w:val="single" w:sz="4" w:space="0" w:color="auto"/>
              <w:left w:val="single" w:sz="4" w:space="0" w:color="auto"/>
              <w:bottom w:val="single" w:sz="4" w:space="0" w:color="auto"/>
              <w:right w:val="single" w:sz="4" w:space="0" w:color="auto"/>
            </w:tcBorders>
            <w:noWrap/>
            <w:hideMark/>
          </w:tcPr>
          <w:p w14:paraId="701A6500"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0.818</w:t>
            </w:r>
          </w:p>
        </w:tc>
        <w:tc>
          <w:tcPr>
            <w:tcW w:w="786" w:type="pct"/>
            <w:tcBorders>
              <w:top w:val="single" w:sz="4" w:space="0" w:color="auto"/>
              <w:left w:val="single" w:sz="4" w:space="0" w:color="auto"/>
              <w:bottom w:val="single" w:sz="4" w:space="0" w:color="auto"/>
              <w:right w:val="single" w:sz="4" w:space="0" w:color="auto"/>
            </w:tcBorders>
            <w:noWrap/>
            <w:hideMark/>
          </w:tcPr>
          <w:p w14:paraId="3FA1B746"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0.241</w:t>
            </w:r>
          </w:p>
        </w:tc>
        <w:tc>
          <w:tcPr>
            <w:tcW w:w="682" w:type="pct"/>
            <w:tcBorders>
              <w:top w:val="single" w:sz="4" w:space="0" w:color="auto"/>
              <w:left w:val="single" w:sz="4" w:space="0" w:color="auto"/>
              <w:bottom w:val="single" w:sz="4" w:space="0" w:color="auto"/>
              <w:right w:val="single" w:sz="4" w:space="0" w:color="auto"/>
            </w:tcBorders>
            <w:noWrap/>
            <w:hideMark/>
          </w:tcPr>
          <w:p w14:paraId="3A00BF16"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1.059</w:t>
            </w:r>
          </w:p>
        </w:tc>
        <w:tc>
          <w:tcPr>
            <w:tcW w:w="555" w:type="pct"/>
            <w:tcBorders>
              <w:top w:val="single" w:sz="4" w:space="0" w:color="auto"/>
              <w:left w:val="single" w:sz="4" w:space="0" w:color="auto"/>
              <w:bottom w:val="single" w:sz="4" w:space="0" w:color="auto"/>
              <w:right w:val="single" w:sz="4" w:space="0" w:color="auto"/>
            </w:tcBorders>
            <w:noWrap/>
            <w:hideMark/>
          </w:tcPr>
          <w:p w14:paraId="49AF93D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35</w:t>
            </w:r>
          </w:p>
        </w:tc>
      </w:tr>
      <w:tr w:rsidR="00F73311" w:rsidRPr="007F0A79" w14:paraId="6732E66F" w14:textId="77777777" w:rsidTr="00BA0F72">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top w:val="single" w:sz="4" w:space="0" w:color="auto"/>
              <w:left w:val="single" w:sz="4" w:space="0" w:color="auto"/>
              <w:bottom w:val="single" w:sz="4" w:space="0" w:color="auto"/>
              <w:right w:val="single" w:sz="4" w:space="0" w:color="auto"/>
            </w:tcBorders>
            <w:hideMark/>
          </w:tcPr>
          <w:p w14:paraId="5B060B0A" w14:textId="77777777" w:rsidR="00F73311" w:rsidRPr="008B49E2" w:rsidRDefault="00F73311" w:rsidP="003266D8">
            <w:pPr>
              <w:jc w:val="center"/>
              <w:rPr>
                <w:b w:val="0"/>
                <w:lang w:bidi="ar-SA"/>
              </w:rPr>
            </w:pPr>
          </w:p>
        </w:tc>
        <w:tc>
          <w:tcPr>
            <w:tcW w:w="549" w:type="pct"/>
            <w:tcBorders>
              <w:top w:val="single" w:sz="4" w:space="0" w:color="auto"/>
              <w:left w:val="single" w:sz="4" w:space="0" w:color="auto"/>
              <w:bottom w:val="single" w:sz="4" w:space="0" w:color="auto"/>
              <w:right w:val="single" w:sz="4" w:space="0" w:color="auto"/>
            </w:tcBorders>
            <w:noWrap/>
            <w:hideMark/>
          </w:tcPr>
          <w:p w14:paraId="11E25D9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67" w:type="pct"/>
            <w:tcBorders>
              <w:top w:val="single" w:sz="4" w:space="0" w:color="auto"/>
              <w:left w:val="single" w:sz="4" w:space="0" w:color="auto"/>
              <w:bottom w:val="single" w:sz="4" w:space="0" w:color="auto"/>
              <w:right w:val="single" w:sz="4" w:space="0" w:color="auto"/>
            </w:tcBorders>
            <w:noWrap/>
            <w:hideMark/>
          </w:tcPr>
          <w:p w14:paraId="342C62D6" w14:textId="77777777" w:rsidR="00F73311" w:rsidRPr="008B49E2" w:rsidRDefault="00F73311" w:rsidP="00BA0F72">
            <w:pPr>
              <w:tabs>
                <w:tab w:val="decimal" w:pos="201"/>
              </w:tabs>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11.8</w:t>
            </w:r>
          </w:p>
        </w:tc>
        <w:tc>
          <w:tcPr>
            <w:tcW w:w="1006" w:type="pct"/>
            <w:tcBorders>
              <w:top w:val="single" w:sz="4" w:space="0" w:color="auto"/>
              <w:left w:val="single" w:sz="4" w:space="0" w:color="auto"/>
              <w:bottom w:val="single" w:sz="4" w:space="0" w:color="auto"/>
              <w:right w:val="single" w:sz="4" w:space="0" w:color="auto"/>
            </w:tcBorders>
            <w:noWrap/>
            <w:hideMark/>
          </w:tcPr>
          <w:p w14:paraId="25D87972"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1.035</w:t>
            </w:r>
          </w:p>
        </w:tc>
        <w:tc>
          <w:tcPr>
            <w:tcW w:w="786" w:type="pct"/>
            <w:tcBorders>
              <w:top w:val="single" w:sz="4" w:space="0" w:color="auto"/>
              <w:left w:val="single" w:sz="4" w:space="0" w:color="auto"/>
              <w:bottom w:val="single" w:sz="4" w:space="0" w:color="auto"/>
              <w:right w:val="single" w:sz="4" w:space="0" w:color="auto"/>
            </w:tcBorders>
            <w:noWrap/>
            <w:hideMark/>
          </w:tcPr>
          <w:p w14:paraId="7CB7CBC0"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0.258</w:t>
            </w:r>
          </w:p>
        </w:tc>
        <w:tc>
          <w:tcPr>
            <w:tcW w:w="682" w:type="pct"/>
            <w:tcBorders>
              <w:top w:val="single" w:sz="4" w:space="0" w:color="auto"/>
              <w:left w:val="single" w:sz="4" w:space="0" w:color="auto"/>
              <w:bottom w:val="single" w:sz="4" w:space="0" w:color="auto"/>
              <w:right w:val="single" w:sz="4" w:space="0" w:color="auto"/>
            </w:tcBorders>
            <w:noWrap/>
            <w:hideMark/>
          </w:tcPr>
          <w:p w14:paraId="32106D93"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1.293</w:t>
            </w:r>
          </w:p>
        </w:tc>
        <w:tc>
          <w:tcPr>
            <w:tcW w:w="555" w:type="pct"/>
            <w:tcBorders>
              <w:top w:val="single" w:sz="4" w:space="0" w:color="auto"/>
              <w:left w:val="single" w:sz="4" w:space="0" w:color="auto"/>
              <w:bottom w:val="single" w:sz="4" w:space="0" w:color="auto"/>
              <w:right w:val="single" w:sz="4" w:space="0" w:color="auto"/>
            </w:tcBorders>
            <w:noWrap/>
            <w:hideMark/>
          </w:tcPr>
          <w:p w14:paraId="3B487EBD"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43</w:t>
            </w:r>
          </w:p>
        </w:tc>
      </w:tr>
      <w:tr w:rsidR="00F73311" w:rsidRPr="007F0A79" w14:paraId="545D61E1" w14:textId="77777777" w:rsidTr="00BA0F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5"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26BF1EFF" w14:textId="77777777" w:rsidR="00F73311" w:rsidRPr="008B49E2" w:rsidRDefault="00F73311" w:rsidP="003266D8">
            <w:pPr>
              <w:jc w:val="center"/>
              <w:rPr>
                <w:b w:val="0"/>
                <w:lang w:bidi="ar-SA"/>
              </w:rPr>
            </w:pPr>
            <w:r w:rsidRPr="008B49E2">
              <w:rPr>
                <w:b w:val="0"/>
                <w:lang w:bidi="ar-SA"/>
              </w:rPr>
              <w:t>&gt;= 71</w:t>
            </w:r>
          </w:p>
        </w:tc>
        <w:tc>
          <w:tcPr>
            <w:tcW w:w="549"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0D14DAFB"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Female</w:t>
            </w:r>
          </w:p>
        </w:tc>
        <w:tc>
          <w:tcPr>
            <w:tcW w:w="86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74218774" w14:textId="77777777" w:rsidR="00F73311" w:rsidRPr="008B49E2" w:rsidRDefault="00F73311" w:rsidP="00BA0F72">
            <w:pPr>
              <w:tabs>
                <w:tab w:val="decimal" w:pos="201"/>
              </w:tabs>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7.3</w:t>
            </w:r>
          </w:p>
        </w:tc>
        <w:tc>
          <w:tcPr>
            <w:tcW w:w="100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455656CA"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0.645</w:t>
            </w:r>
          </w:p>
        </w:tc>
        <w:tc>
          <w:tcPr>
            <w:tcW w:w="78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C4C61B8"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0.229</w:t>
            </w:r>
          </w:p>
        </w:tc>
        <w:tc>
          <w:tcPr>
            <w:tcW w:w="682"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394D9D9F"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0.874</w:t>
            </w:r>
          </w:p>
        </w:tc>
        <w:tc>
          <w:tcPr>
            <w:tcW w:w="55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71A4A511" w14:textId="77777777" w:rsidR="00F73311" w:rsidRPr="008B49E2" w:rsidRDefault="00F73311" w:rsidP="003266D8">
            <w:pPr>
              <w:jc w:val="center"/>
              <w:cnfStyle w:val="000000100000" w:firstRow="0" w:lastRow="0" w:firstColumn="0" w:lastColumn="0" w:oddVBand="0" w:evenVBand="0" w:oddHBand="1" w:evenHBand="0" w:firstRowFirstColumn="0" w:firstRowLastColumn="0" w:lastRowFirstColumn="0" w:lastRowLastColumn="0"/>
              <w:rPr>
                <w:lang w:bidi="ar-SA"/>
              </w:rPr>
            </w:pPr>
            <w:r w:rsidRPr="008B49E2">
              <w:rPr>
                <w:lang w:bidi="ar-SA"/>
              </w:rPr>
              <w:t>29</w:t>
            </w:r>
          </w:p>
        </w:tc>
      </w:tr>
      <w:tr w:rsidR="00F73311" w:rsidRPr="007F0A79" w14:paraId="4DCCDDFE" w14:textId="77777777" w:rsidTr="00BA0F72">
        <w:trPr>
          <w:trHeight w:val="290"/>
        </w:trPr>
        <w:tc>
          <w:tcPr>
            <w:cnfStyle w:val="001000000000" w:firstRow="0" w:lastRow="0" w:firstColumn="1" w:lastColumn="0" w:oddVBand="0" w:evenVBand="0" w:oddHBand="0" w:evenHBand="0" w:firstRowFirstColumn="0" w:firstRowLastColumn="0" w:lastRowFirstColumn="0" w:lastRowLastColumn="0"/>
            <w:tcW w:w="555"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D80D360" w14:textId="77777777" w:rsidR="00F73311" w:rsidRPr="008B49E2" w:rsidRDefault="00F73311" w:rsidP="003266D8">
            <w:pPr>
              <w:jc w:val="center"/>
              <w:rPr>
                <w:b w:val="0"/>
                <w:lang w:bidi="ar-SA"/>
              </w:rPr>
            </w:pPr>
          </w:p>
        </w:tc>
        <w:tc>
          <w:tcPr>
            <w:tcW w:w="549"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7239CD28"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Male</w:t>
            </w:r>
          </w:p>
        </w:tc>
        <w:tc>
          <w:tcPr>
            <w:tcW w:w="867"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2E807C15" w14:textId="77777777" w:rsidR="00F73311" w:rsidRPr="008B49E2" w:rsidRDefault="00F73311" w:rsidP="00BA0F72">
            <w:pPr>
              <w:tabs>
                <w:tab w:val="decimal" w:pos="201"/>
              </w:tabs>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10.0</w:t>
            </w:r>
          </w:p>
        </w:tc>
        <w:tc>
          <w:tcPr>
            <w:tcW w:w="100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1224F18C"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0.883</w:t>
            </w:r>
          </w:p>
        </w:tc>
        <w:tc>
          <w:tcPr>
            <w:tcW w:w="786"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2E533904"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0.229</w:t>
            </w:r>
          </w:p>
        </w:tc>
        <w:tc>
          <w:tcPr>
            <w:tcW w:w="682"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49BF07EC"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1.112</w:t>
            </w:r>
          </w:p>
        </w:tc>
        <w:tc>
          <w:tcPr>
            <w:tcW w:w="555"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14:paraId="409FCEC9" w14:textId="77777777" w:rsidR="00F73311" w:rsidRPr="008B49E2" w:rsidRDefault="00F73311" w:rsidP="003266D8">
            <w:pPr>
              <w:jc w:val="center"/>
              <w:cnfStyle w:val="000000000000" w:firstRow="0" w:lastRow="0" w:firstColumn="0" w:lastColumn="0" w:oddVBand="0" w:evenVBand="0" w:oddHBand="0" w:evenHBand="0" w:firstRowFirstColumn="0" w:firstRowLastColumn="0" w:lastRowFirstColumn="0" w:lastRowLastColumn="0"/>
              <w:rPr>
                <w:lang w:bidi="ar-SA"/>
              </w:rPr>
            </w:pPr>
            <w:r w:rsidRPr="008B49E2">
              <w:rPr>
                <w:lang w:bidi="ar-SA"/>
              </w:rPr>
              <w:t>37</w:t>
            </w:r>
          </w:p>
        </w:tc>
      </w:tr>
    </w:tbl>
    <w:p w14:paraId="476D4578" w14:textId="7B77BA85" w:rsidR="00F73311" w:rsidRPr="00E9375F" w:rsidRDefault="00F73311" w:rsidP="00F73311">
      <w:pPr>
        <w:spacing w:before="120" w:after="120"/>
        <w:rPr>
          <w:sz w:val="18"/>
          <w:lang w:bidi="ar-SA"/>
        </w:rPr>
      </w:pPr>
      <w:r w:rsidRPr="00BF5218">
        <w:rPr>
          <w:sz w:val="18"/>
          <w:vertAlign w:val="superscript"/>
          <w:lang w:bidi="ar-SA"/>
        </w:rPr>
        <w:t>1</w:t>
      </w:r>
      <w:r w:rsidR="00BA0F72" w:rsidRPr="00BA0F72">
        <w:rPr>
          <w:sz w:val="18"/>
          <w:lang w:bidi="ar-SA"/>
        </w:rPr>
        <w:t xml:space="preserve"> </w:t>
      </w:r>
      <w:r w:rsidR="00BA0F72" w:rsidRPr="008B542C">
        <w:rPr>
          <w:sz w:val="18"/>
          <w:lang w:bidi="ar-SA"/>
        </w:rPr>
        <w:t>One-day mean consumption, rounded to 1 decimal place, consumers only</w:t>
      </w:r>
      <w:r w:rsidR="00BA0F72" w:rsidRPr="00BA0F72" w:rsidDel="00BA0F72">
        <w:rPr>
          <w:sz w:val="18"/>
          <w:lang w:bidi="ar-SA"/>
        </w:rPr>
        <w:t xml:space="preserve"> </w:t>
      </w:r>
    </w:p>
    <w:p w14:paraId="72DEFDA1" w14:textId="49329FAC" w:rsidR="00C32B56" w:rsidRPr="0064635C" w:rsidRDefault="00F73311" w:rsidP="00645494">
      <w:pPr>
        <w:spacing w:before="120" w:after="120"/>
        <w:rPr>
          <w:rFonts w:cs="Arial"/>
          <w:sz w:val="18"/>
          <w:szCs w:val="22"/>
        </w:rPr>
      </w:pPr>
      <w:r w:rsidRPr="00BF5218">
        <w:rPr>
          <w:sz w:val="18"/>
          <w:vertAlign w:val="superscript"/>
          <w:lang w:bidi="ar-SA"/>
        </w:rPr>
        <w:t>2</w:t>
      </w:r>
      <w:r w:rsidR="00BA0F72" w:rsidRPr="00BA0F72">
        <w:rPr>
          <w:sz w:val="18"/>
          <w:lang w:bidi="ar-SA"/>
        </w:rPr>
        <w:t xml:space="preserve"> </w:t>
      </w:r>
      <w:r w:rsidR="00BA0F72" w:rsidRPr="008B542C">
        <w:rPr>
          <w:sz w:val="18"/>
          <w:lang w:bidi="ar-SA"/>
        </w:rPr>
        <w:t>mean usual intakes for Australia (ABS 2015</w:t>
      </w:r>
      <w:r w:rsidR="00BF5218">
        <w:rPr>
          <w:sz w:val="18"/>
          <w:lang w:bidi="ar-SA"/>
        </w:rPr>
        <w:t>b</w:t>
      </w:r>
      <w:r w:rsidR="00BA0F72" w:rsidRPr="008B542C">
        <w:rPr>
          <w:sz w:val="18"/>
          <w:lang w:bidi="ar-SA"/>
        </w:rPr>
        <w:t xml:space="preserve">), best match age group used </w:t>
      </w:r>
      <w:r w:rsidR="00BF5218">
        <w:rPr>
          <w:sz w:val="18"/>
          <w:lang w:bidi="ar-SA"/>
        </w:rPr>
        <w:t>(Table 5)</w:t>
      </w:r>
    </w:p>
    <w:sectPr w:rsidR="00C32B56" w:rsidRPr="0064635C" w:rsidSect="0066114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C5EA" w14:textId="77777777" w:rsidR="00361453" w:rsidRDefault="00361453">
      <w:r>
        <w:separator/>
      </w:r>
    </w:p>
  </w:endnote>
  <w:endnote w:type="continuationSeparator" w:id="0">
    <w:p w14:paraId="551E1D4D" w14:textId="77777777" w:rsidR="00361453" w:rsidRDefault="00361453">
      <w:r>
        <w:continuationSeparator/>
      </w:r>
    </w:p>
  </w:endnote>
  <w:endnote w:type="continuationNotice" w:id="1">
    <w:p w14:paraId="435D8988" w14:textId="77777777" w:rsidR="00361453" w:rsidRDefault="00361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750A" w14:textId="5E6C9960" w:rsidR="006A60D0" w:rsidRDefault="006A60D0" w:rsidP="00721FC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938EB">
      <w:rPr>
        <w:rStyle w:val="PageNumber"/>
        <w:noProof/>
      </w:rPr>
      <w:t>i</w:t>
    </w:r>
    <w:r>
      <w:rPr>
        <w:rStyle w:val="PageNumber"/>
      </w:rPr>
      <w:fldChar w:fldCharType="end"/>
    </w:r>
  </w:p>
  <w:p w14:paraId="210AC100" w14:textId="77777777" w:rsidR="006A60D0" w:rsidRDefault="006A60D0" w:rsidP="0079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5107" w14:textId="283D39C3" w:rsidR="006A60D0" w:rsidRDefault="006A60D0" w:rsidP="000F28E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702E3">
      <w:rPr>
        <w:rStyle w:val="PageNumber"/>
        <w:noProof/>
      </w:rPr>
      <w:t>i</w:t>
    </w:r>
    <w:r>
      <w:rPr>
        <w:rStyle w:val="PageNumber"/>
      </w:rPr>
      <w:fldChar w:fldCharType="end"/>
    </w:r>
  </w:p>
  <w:p w14:paraId="7C4636D5" w14:textId="77777777" w:rsidR="006A60D0" w:rsidRDefault="006A60D0" w:rsidP="007938E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660E" w14:textId="716660A3" w:rsidR="006A60D0" w:rsidRPr="007938EB" w:rsidRDefault="006A60D0" w:rsidP="00793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365167"/>
      <w:docPartObj>
        <w:docPartGallery w:val="Page Numbers (Bottom of Page)"/>
        <w:docPartUnique/>
      </w:docPartObj>
    </w:sdtPr>
    <w:sdtEndPr>
      <w:rPr>
        <w:noProof/>
      </w:rPr>
    </w:sdtEndPr>
    <w:sdtContent>
      <w:p w14:paraId="75B83BBA" w14:textId="4ED3FC92" w:rsidR="006A60D0" w:rsidRDefault="006A60D0">
        <w:pPr>
          <w:pStyle w:val="Footer"/>
          <w:jc w:val="center"/>
        </w:pPr>
        <w:r>
          <w:fldChar w:fldCharType="begin"/>
        </w:r>
        <w:r>
          <w:instrText xml:space="preserve"> PAGE   \* MERGEFORMAT </w:instrText>
        </w:r>
        <w:r>
          <w:fldChar w:fldCharType="separate"/>
        </w:r>
        <w:r w:rsidR="009702E3">
          <w:rPr>
            <w:noProof/>
          </w:rPr>
          <w:t>21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7D70" w14:textId="48979F41" w:rsidR="006A60D0" w:rsidRPr="007938EB" w:rsidRDefault="006A60D0" w:rsidP="0079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CEE7" w14:textId="77777777" w:rsidR="00361453" w:rsidRDefault="00361453">
      <w:r>
        <w:separator/>
      </w:r>
    </w:p>
  </w:footnote>
  <w:footnote w:type="continuationSeparator" w:id="0">
    <w:p w14:paraId="6481B6DE" w14:textId="77777777" w:rsidR="00361453" w:rsidRDefault="00361453">
      <w:r>
        <w:continuationSeparator/>
      </w:r>
    </w:p>
  </w:footnote>
  <w:footnote w:type="continuationNotice" w:id="1">
    <w:p w14:paraId="4BA40C68" w14:textId="77777777" w:rsidR="00361453" w:rsidRDefault="00361453"/>
  </w:footnote>
  <w:footnote w:id="2">
    <w:p w14:paraId="25CE3C42" w14:textId="1DD10115" w:rsidR="006A60D0" w:rsidRPr="00C65825" w:rsidRDefault="006A60D0">
      <w:pPr>
        <w:pStyle w:val="FootnoteText"/>
        <w:rPr>
          <w:lang w:val="en-AU"/>
        </w:rPr>
      </w:pPr>
      <w:r>
        <w:rPr>
          <w:rStyle w:val="FootnoteReference"/>
        </w:rPr>
        <w:footnoteRef/>
      </w:r>
      <w:r>
        <w:t xml:space="preserve"> For an overview of the biosynthesis pathyway engineered into LBFLFK, </w:t>
      </w:r>
      <w:r>
        <w:rPr>
          <w:lang w:val="en-AU"/>
        </w:rPr>
        <w:t>please see Figure 2 in Supporting Document 1.</w:t>
      </w:r>
    </w:p>
  </w:footnote>
  <w:footnote w:id="3">
    <w:p w14:paraId="45B293E3" w14:textId="77777777" w:rsidR="006A60D0" w:rsidRDefault="006A60D0" w:rsidP="00A145CE">
      <w:pPr>
        <w:pStyle w:val="FootnoteText"/>
        <w:rPr>
          <w:rFonts w:cstheme="minorBidi"/>
          <w:szCs w:val="18"/>
        </w:rPr>
      </w:pPr>
      <w:r>
        <w:rPr>
          <w:rStyle w:val="FootnoteReference"/>
        </w:rPr>
        <w:footnoteRef/>
      </w:r>
      <w:r>
        <w:t xml:space="preserve"> </w:t>
      </w:r>
      <w:r>
        <w:rPr>
          <w:szCs w:val="18"/>
        </w:rPr>
        <w:t>Harvest is FSANZ’s custom-built dietary modelling program that replaced the previous program, DIAMOND, which does the same calculations just using a different software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B202" w14:textId="5BD453CC" w:rsidR="006A60D0" w:rsidRDefault="006A60D0">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82A3" w14:textId="7E1C9F52" w:rsidR="006A60D0" w:rsidRPr="007938EB" w:rsidRDefault="006A60D0" w:rsidP="00793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D52B" w14:textId="4699A7C8" w:rsidR="006A60D0" w:rsidRPr="007938EB" w:rsidRDefault="006A60D0" w:rsidP="007938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05E6" w14:textId="77BEE4AA" w:rsidR="006A60D0" w:rsidRPr="007938EB" w:rsidRDefault="006A60D0" w:rsidP="00793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248C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881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74D3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0CC3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1E92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2CBD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EEA0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028F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24D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EA8E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78E452E"/>
    <w:multiLevelType w:val="multilevel"/>
    <w:tmpl w:val="3FBC593E"/>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124E06"/>
    <w:multiLevelType w:val="hybridMultilevel"/>
    <w:tmpl w:val="FC8E5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079F7"/>
    <w:multiLevelType w:val="hybridMultilevel"/>
    <w:tmpl w:val="970C5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E66403"/>
    <w:multiLevelType w:val="multilevel"/>
    <w:tmpl w:val="47A6025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680282458">
    <w:abstractNumId w:val="13"/>
  </w:num>
  <w:num w:numId="2" w16cid:durableId="585185109">
    <w:abstractNumId w:val="15"/>
  </w:num>
  <w:num w:numId="3" w16cid:durableId="677659459">
    <w:abstractNumId w:val="10"/>
  </w:num>
  <w:num w:numId="4" w16cid:durableId="525291060">
    <w:abstractNumId w:val="12"/>
  </w:num>
  <w:num w:numId="5" w16cid:durableId="1572353448">
    <w:abstractNumId w:val="14"/>
  </w:num>
  <w:num w:numId="6" w16cid:durableId="784888858">
    <w:abstractNumId w:val="16"/>
  </w:num>
  <w:num w:numId="7" w16cid:durableId="250050624">
    <w:abstractNumId w:val="0"/>
  </w:num>
  <w:num w:numId="8" w16cid:durableId="619411618">
    <w:abstractNumId w:val="1"/>
  </w:num>
  <w:num w:numId="9" w16cid:durableId="1812749205">
    <w:abstractNumId w:val="2"/>
  </w:num>
  <w:num w:numId="10" w16cid:durableId="1345941318">
    <w:abstractNumId w:val="3"/>
  </w:num>
  <w:num w:numId="11" w16cid:durableId="1933933084">
    <w:abstractNumId w:val="4"/>
  </w:num>
  <w:num w:numId="12" w16cid:durableId="926578754">
    <w:abstractNumId w:val="5"/>
  </w:num>
  <w:num w:numId="13" w16cid:durableId="188876384">
    <w:abstractNumId w:val="6"/>
  </w:num>
  <w:num w:numId="14" w16cid:durableId="1413044729">
    <w:abstractNumId w:val="7"/>
  </w:num>
  <w:num w:numId="15" w16cid:durableId="2023973396">
    <w:abstractNumId w:val="8"/>
  </w:num>
  <w:num w:numId="16" w16cid:durableId="616107352">
    <w:abstractNumId w:val="9"/>
  </w:num>
  <w:num w:numId="17" w16cid:durableId="597567523">
    <w:abstractNumId w:val="11"/>
  </w:num>
  <w:num w:numId="18" w16cid:durableId="1634099774">
    <w:abstractNumId w:val="16"/>
    <w:lvlOverride w:ilvl="0">
      <w:startOverride w:val="1"/>
    </w:lvlOverride>
    <w:lvlOverride w:ilvl="1">
      <w:startOverride w:val="2"/>
    </w:lvlOverride>
    <w:lvlOverride w:ilvl="2">
      <w:startOverride w:val="4"/>
    </w:lvlOverride>
  </w:num>
  <w:num w:numId="19" w16cid:durableId="149156038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2"/>
    <w:rsid w:val="00001348"/>
    <w:rsid w:val="00001B65"/>
    <w:rsid w:val="00001CF2"/>
    <w:rsid w:val="0000247B"/>
    <w:rsid w:val="00002669"/>
    <w:rsid w:val="000027A8"/>
    <w:rsid w:val="00003C76"/>
    <w:rsid w:val="000040EC"/>
    <w:rsid w:val="00004521"/>
    <w:rsid w:val="0000456A"/>
    <w:rsid w:val="0000469B"/>
    <w:rsid w:val="000047CF"/>
    <w:rsid w:val="00006762"/>
    <w:rsid w:val="00007221"/>
    <w:rsid w:val="0001079B"/>
    <w:rsid w:val="00017A95"/>
    <w:rsid w:val="00020534"/>
    <w:rsid w:val="00020751"/>
    <w:rsid w:val="00021534"/>
    <w:rsid w:val="0002164C"/>
    <w:rsid w:val="00023204"/>
    <w:rsid w:val="00026124"/>
    <w:rsid w:val="0002630C"/>
    <w:rsid w:val="00027772"/>
    <w:rsid w:val="00027C51"/>
    <w:rsid w:val="000306A1"/>
    <w:rsid w:val="00030B28"/>
    <w:rsid w:val="00031CB2"/>
    <w:rsid w:val="0003361C"/>
    <w:rsid w:val="00033B26"/>
    <w:rsid w:val="00034701"/>
    <w:rsid w:val="000349DF"/>
    <w:rsid w:val="00035EFD"/>
    <w:rsid w:val="00035FF3"/>
    <w:rsid w:val="00036A6E"/>
    <w:rsid w:val="000378FE"/>
    <w:rsid w:val="000408FB"/>
    <w:rsid w:val="000418D9"/>
    <w:rsid w:val="00041C9A"/>
    <w:rsid w:val="00043673"/>
    <w:rsid w:val="00043879"/>
    <w:rsid w:val="0004516C"/>
    <w:rsid w:val="00046DC4"/>
    <w:rsid w:val="00051021"/>
    <w:rsid w:val="00051D9A"/>
    <w:rsid w:val="00051ED9"/>
    <w:rsid w:val="000522D7"/>
    <w:rsid w:val="00052B65"/>
    <w:rsid w:val="00054691"/>
    <w:rsid w:val="00054BAD"/>
    <w:rsid w:val="00056B97"/>
    <w:rsid w:val="00057181"/>
    <w:rsid w:val="00060F69"/>
    <w:rsid w:val="00060F6F"/>
    <w:rsid w:val="000631D5"/>
    <w:rsid w:val="000637E8"/>
    <w:rsid w:val="0006473A"/>
    <w:rsid w:val="00064900"/>
    <w:rsid w:val="00064B2D"/>
    <w:rsid w:val="00065F1F"/>
    <w:rsid w:val="000667F8"/>
    <w:rsid w:val="000727D6"/>
    <w:rsid w:val="000738D1"/>
    <w:rsid w:val="000740F5"/>
    <w:rsid w:val="00074424"/>
    <w:rsid w:val="00076761"/>
    <w:rsid w:val="00076D33"/>
    <w:rsid w:val="00077E69"/>
    <w:rsid w:val="00082701"/>
    <w:rsid w:val="00082FA1"/>
    <w:rsid w:val="00084ABF"/>
    <w:rsid w:val="000860D7"/>
    <w:rsid w:val="000861CC"/>
    <w:rsid w:val="00087307"/>
    <w:rsid w:val="00087D7B"/>
    <w:rsid w:val="00090417"/>
    <w:rsid w:val="00090731"/>
    <w:rsid w:val="00090D75"/>
    <w:rsid w:val="00091193"/>
    <w:rsid w:val="00092CDA"/>
    <w:rsid w:val="0009393E"/>
    <w:rsid w:val="00094ED6"/>
    <w:rsid w:val="00095B11"/>
    <w:rsid w:val="0009644D"/>
    <w:rsid w:val="00097069"/>
    <w:rsid w:val="000A02F5"/>
    <w:rsid w:val="000A0626"/>
    <w:rsid w:val="000A0ACF"/>
    <w:rsid w:val="000A0F25"/>
    <w:rsid w:val="000A1145"/>
    <w:rsid w:val="000A27E9"/>
    <w:rsid w:val="000A3D8B"/>
    <w:rsid w:val="000A5940"/>
    <w:rsid w:val="000A5CDF"/>
    <w:rsid w:val="000A5DF8"/>
    <w:rsid w:val="000B02CD"/>
    <w:rsid w:val="000B06E0"/>
    <w:rsid w:val="000B17F8"/>
    <w:rsid w:val="000B2CC9"/>
    <w:rsid w:val="000B39BC"/>
    <w:rsid w:val="000B3A33"/>
    <w:rsid w:val="000B3E65"/>
    <w:rsid w:val="000B4D0A"/>
    <w:rsid w:val="000B55F4"/>
    <w:rsid w:val="000B5E63"/>
    <w:rsid w:val="000B6AF2"/>
    <w:rsid w:val="000B7763"/>
    <w:rsid w:val="000C0A57"/>
    <w:rsid w:val="000C3949"/>
    <w:rsid w:val="000C3AF4"/>
    <w:rsid w:val="000C512F"/>
    <w:rsid w:val="000C6BBE"/>
    <w:rsid w:val="000D0089"/>
    <w:rsid w:val="000D01E4"/>
    <w:rsid w:val="000D182D"/>
    <w:rsid w:val="000D2A16"/>
    <w:rsid w:val="000D3173"/>
    <w:rsid w:val="000D47E8"/>
    <w:rsid w:val="000D4FB2"/>
    <w:rsid w:val="000D6FD4"/>
    <w:rsid w:val="000D7A70"/>
    <w:rsid w:val="000E09BE"/>
    <w:rsid w:val="000E0AE4"/>
    <w:rsid w:val="000E12A6"/>
    <w:rsid w:val="000E3DBC"/>
    <w:rsid w:val="000E47E1"/>
    <w:rsid w:val="000E4805"/>
    <w:rsid w:val="000E537B"/>
    <w:rsid w:val="000E545E"/>
    <w:rsid w:val="000E5599"/>
    <w:rsid w:val="000E5F4F"/>
    <w:rsid w:val="000E64BB"/>
    <w:rsid w:val="000E6BFC"/>
    <w:rsid w:val="000E723D"/>
    <w:rsid w:val="000E78D0"/>
    <w:rsid w:val="000E7EA5"/>
    <w:rsid w:val="000F01CC"/>
    <w:rsid w:val="000F137D"/>
    <w:rsid w:val="000F28ED"/>
    <w:rsid w:val="000F5B42"/>
    <w:rsid w:val="000F5CAA"/>
    <w:rsid w:val="000F5F59"/>
    <w:rsid w:val="000F61CD"/>
    <w:rsid w:val="000F6577"/>
    <w:rsid w:val="000F67EC"/>
    <w:rsid w:val="000F67FC"/>
    <w:rsid w:val="000F6B9A"/>
    <w:rsid w:val="000F6DC1"/>
    <w:rsid w:val="000F7CD7"/>
    <w:rsid w:val="001001C3"/>
    <w:rsid w:val="0010309A"/>
    <w:rsid w:val="00104089"/>
    <w:rsid w:val="00110751"/>
    <w:rsid w:val="00110F81"/>
    <w:rsid w:val="00112BE8"/>
    <w:rsid w:val="00112D93"/>
    <w:rsid w:val="00113CE3"/>
    <w:rsid w:val="00115441"/>
    <w:rsid w:val="00116BC9"/>
    <w:rsid w:val="00117522"/>
    <w:rsid w:val="001206FC"/>
    <w:rsid w:val="00121681"/>
    <w:rsid w:val="00122F6A"/>
    <w:rsid w:val="001230A6"/>
    <w:rsid w:val="00124D6D"/>
    <w:rsid w:val="0012632E"/>
    <w:rsid w:val="00126F3F"/>
    <w:rsid w:val="00127383"/>
    <w:rsid w:val="00135F3A"/>
    <w:rsid w:val="00136863"/>
    <w:rsid w:val="00136B7E"/>
    <w:rsid w:val="00136DE7"/>
    <w:rsid w:val="001375B9"/>
    <w:rsid w:val="00141003"/>
    <w:rsid w:val="00141A2F"/>
    <w:rsid w:val="001436A5"/>
    <w:rsid w:val="00146935"/>
    <w:rsid w:val="00150BA3"/>
    <w:rsid w:val="00151225"/>
    <w:rsid w:val="00151341"/>
    <w:rsid w:val="001527FF"/>
    <w:rsid w:val="001542D8"/>
    <w:rsid w:val="001545F9"/>
    <w:rsid w:val="00155301"/>
    <w:rsid w:val="0015619A"/>
    <w:rsid w:val="00157E6F"/>
    <w:rsid w:val="00160418"/>
    <w:rsid w:val="00160EB6"/>
    <w:rsid w:val="0016139B"/>
    <w:rsid w:val="00161A48"/>
    <w:rsid w:val="00161EBD"/>
    <w:rsid w:val="0016281C"/>
    <w:rsid w:val="0016363A"/>
    <w:rsid w:val="00163AC8"/>
    <w:rsid w:val="001662DB"/>
    <w:rsid w:val="001701D4"/>
    <w:rsid w:val="001703DC"/>
    <w:rsid w:val="00172382"/>
    <w:rsid w:val="00173E35"/>
    <w:rsid w:val="00174CE2"/>
    <w:rsid w:val="00175CF0"/>
    <w:rsid w:val="0017742C"/>
    <w:rsid w:val="00177818"/>
    <w:rsid w:val="00177858"/>
    <w:rsid w:val="0017785F"/>
    <w:rsid w:val="00180AAF"/>
    <w:rsid w:val="00180B06"/>
    <w:rsid w:val="00180C41"/>
    <w:rsid w:val="00180E02"/>
    <w:rsid w:val="00181196"/>
    <w:rsid w:val="001812F6"/>
    <w:rsid w:val="001814D5"/>
    <w:rsid w:val="001824ED"/>
    <w:rsid w:val="00182C4C"/>
    <w:rsid w:val="001830D1"/>
    <w:rsid w:val="001837AA"/>
    <w:rsid w:val="00185EBA"/>
    <w:rsid w:val="00186A3A"/>
    <w:rsid w:val="00187E9A"/>
    <w:rsid w:val="00190BEC"/>
    <w:rsid w:val="001912D6"/>
    <w:rsid w:val="0019313F"/>
    <w:rsid w:val="00193584"/>
    <w:rsid w:val="00193760"/>
    <w:rsid w:val="0019384D"/>
    <w:rsid w:val="00193FA6"/>
    <w:rsid w:val="00194283"/>
    <w:rsid w:val="001962EE"/>
    <w:rsid w:val="00196F6A"/>
    <w:rsid w:val="0019736D"/>
    <w:rsid w:val="001976A5"/>
    <w:rsid w:val="00197D8D"/>
    <w:rsid w:val="001A1A75"/>
    <w:rsid w:val="001A1BE7"/>
    <w:rsid w:val="001A1E88"/>
    <w:rsid w:val="001A2014"/>
    <w:rsid w:val="001A4A70"/>
    <w:rsid w:val="001A56CE"/>
    <w:rsid w:val="001A5982"/>
    <w:rsid w:val="001A7778"/>
    <w:rsid w:val="001A7A33"/>
    <w:rsid w:val="001A7BA8"/>
    <w:rsid w:val="001A7C4C"/>
    <w:rsid w:val="001A7E9A"/>
    <w:rsid w:val="001B07BD"/>
    <w:rsid w:val="001B13B6"/>
    <w:rsid w:val="001B1C99"/>
    <w:rsid w:val="001B226A"/>
    <w:rsid w:val="001B409F"/>
    <w:rsid w:val="001C27A3"/>
    <w:rsid w:val="001C5295"/>
    <w:rsid w:val="001D5E65"/>
    <w:rsid w:val="001D6B40"/>
    <w:rsid w:val="001D733A"/>
    <w:rsid w:val="001E0388"/>
    <w:rsid w:val="001E09FA"/>
    <w:rsid w:val="001E0C9C"/>
    <w:rsid w:val="001E1562"/>
    <w:rsid w:val="001E33E0"/>
    <w:rsid w:val="001E380C"/>
    <w:rsid w:val="001E4628"/>
    <w:rsid w:val="001E48B8"/>
    <w:rsid w:val="001E62F9"/>
    <w:rsid w:val="001F0523"/>
    <w:rsid w:val="001F3516"/>
    <w:rsid w:val="001F3611"/>
    <w:rsid w:val="001F6913"/>
    <w:rsid w:val="001F6CCB"/>
    <w:rsid w:val="001F73B5"/>
    <w:rsid w:val="001F7417"/>
    <w:rsid w:val="00201AAB"/>
    <w:rsid w:val="00201B38"/>
    <w:rsid w:val="00202D87"/>
    <w:rsid w:val="002030BF"/>
    <w:rsid w:val="00203401"/>
    <w:rsid w:val="00203540"/>
    <w:rsid w:val="00204EF2"/>
    <w:rsid w:val="0020594F"/>
    <w:rsid w:val="00206E7F"/>
    <w:rsid w:val="00206FA5"/>
    <w:rsid w:val="002078B6"/>
    <w:rsid w:val="00207A48"/>
    <w:rsid w:val="002101D7"/>
    <w:rsid w:val="00212BD3"/>
    <w:rsid w:val="00212BF7"/>
    <w:rsid w:val="00212E88"/>
    <w:rsid w:val="00213721"/>
    <w:rsid w:val="00215571"/>
    <w:rsid w:val="0021612B"/>
    <w:rsid w:val="00216788"/>
    <w:rsid w:val="0022083A"/>
    <w:rsid w:val="00221BE0"/>
    <w:rsid w:val="00221D07"/>
    <w:rsid w:val="00222087"/>
    <w:rsid w:val="002221F4"/>
    <w:rsid w:val="0022309A"/>
    <w:rsid w:val="00223732"/>
    <w:rsid w:val="0022407C"/>
    <w:rsid w:val="0022432A"/>
    <w:rsid w:val="00225D17"/>
    <w:rsid w:val="00227E4A"/>
    <w:rsid w:val="002313AD"/>
    <w:rsid w:val="0023175C"/>
    <w:rsid w:val="0023257E"/>
    <w:rsid w:val="00232F52"/>
    <w:rsid w:val="0023434A"/>
    <w:rsid w:val="00235689"/>
    <w:rsid w:val="002361A0"/>
    <w:rsid w:val="002369E0"/>
    <w:rsid w:val="00236B24"/>
    <w:rsid w:val="00236BF3"/>
    <w:rsid w:val="002401E0"/>
    <w:rsid w:val="00241541"/>
    <w:rsid w:val="002418C2"/>
    <w:rsid w:val="00245606"/>
    <w:rsid w:val="0024582E"/>
    <w:rsid w:val="00245C56"/>
    <w:rsid w:val="0024634B"/>
    <w:rsid w:val="0024679A"/>
    <w:rsid w:val="00246AFF"/>
    <w:rsid w:val="00247085"/>
    <w:rsid w:val="00251505"/>
    <w:rsid w:val="00251D83"/>
    <w:rsid w:val="00252392"/>
    <w:rsid w:val="002530E6"/>
    <w:rsid w:val="00253D5B"/>
    <w:rsid w:val="002547EF"/>
    <w:rsid w:val="00254F72"/>
    <w:rsid w:val="00255A57"/>
    <w:rsid w:val="00255CDA"/>
    <w:rsid w:val="002561E4"/>
    <w:rsid w:val="002567BC"/>
    <w:rsid w:val="0025690E"/>
    <w:rsid w:val="00256D65"/>
    <w:rsid w:val="00257634"/>
    <w:rsid w:val="00262800"/>
    <w:rsid w:val="00263E14"/>
    <w:rsid w:val="00264A49"/>
    <w:rsid w:val="00265E5E"/>
    <w:rsid w:val="002717FB"/>
    <w:rsid w:val="00271F00"/>
    <w:rsid w:val="00272831"/>
    <w:rsid w:val="00273A80"/>
    <w:rsid w:val="00273B70"/>
    <w:rsid w:val="00274579"/>
    <w:rsid w:val="00274EE7"/>
    <w:rsid w:val="00282A7A"/>
    <w:rsid w:val="00283BF7"/>
    <w:rsid w:val="002851AF"/>
    <w:rsid w:val="00285E6A"/>
    <w:rsid w:val="00286CA4"/>
    <w:rsid w:val="00290FF1"/>
    <w:rsid w:val="00291553"/>
    <w:rsid w:val="0029204E"/>
    <w:rsid w:val="00292492"/>
    <w:rsid w:val="002932DC"/>
    <w:rsid w:val="0029339E"/>
    <w:rsid w:val="002936AC"/>
    <w:rsid w:val="002948FC"/>
    <w:rsid w:val="00295DFF"/>
    <w:rsid w:val="0029631C"/>
    <w:rsid w:val="00297007"/>
    <w:rsid w:val="002974BA"/>
    <w:rsid w:val="00297C46"/>
    <w:rsid w:val="002A0194"/>
    <w:rsid w:val="002A0CA9"/>
    <w:rsid w:val="002A1099"/>
    <w:rsid w:val="002A172C"/>
    <w:rsid w:val="002A3314"/>
    <w:rsid w:val="002A3F8C"/>
    <w:rsid w:val="002A5F8B"/>
    <w:rsid w:val="002A6DC0"/>
    <w:rsid w:val="002A7F6C"/>
    <w:rsid w:val="002B0102"/>
    <w:rsid w:val="002B15BB"/>
    <w:rsid w:val="002B1A26"/>
    <w:rsid w:val="002B1D39"/>
    <w:rsid w:val="002B3122"/>
    <w:rsid w:val="002B6A81"/>
    <w:rsid w:val="002B7268"/>
    <w:rsid w:val="002B74B4"/>
    <w:rsid w:val="002C070F"/>
    <w:rsid w:val="002C1211"/>
    <w:rsid w:val="002C1F4B"/>
    <w:rsid w:val="002C353F"/>
    <w:rsid w:val="002C384F"/>
    <w:rsid w:val="002C4582"/>
    <w:rsid w:val="002C5193"/>
    <w:rsid w:val="002C5417"/>
    <w:rsid w:val="002C5471"/>
    <w:rsid w:val="002C6F35"/>
    <w:rsid w:val="002C792B"/>
    <w:rsid w:val="002D044F"/>
    <w:rsid w:val="002D0912"/>
    <w:rsid w:val="002D1AF2"/>
    <w:rsid w:val="002D2C5F"/>
    <w:rsid w:val="002D2D8C"/>
    <w:rsid w:val="002D4ABD"/>
    <w:rsid w:val="002D642A"/>
    <w:rsid w:val="002D6809"/>
    <w:rsid w:val="002D6925"/>
    <w:rsid w:val="002D7662"/>
    <w:rsid w:val="002D769A"/>
    <w:rsid w:val="002E0CCB"/>
    <w:rsid w:val="002E0D97"/>
    <w:rsid w:val="002E0F80"/>
    <w:rsid w:val="002E2653"/>
    <w:rsid w:val="002E49EA"/>
    <w:rsid w:val="002E59DE"/>
    <w:rsid w:val="002E5C6C"/>
    <w:rsid w:val="002E63EA"/>
    <w:rsid w:val="002F017F"/>
    <w:rsid w:val="002F0CAF"/>
    <w:rsid w:val="002F1262"/>
    <w:rsid w:val="002F1C6A"/>
    <w:rsid w:val="002F1D1B"/>
    <w:rsid w:val="002F28D9"/>
    <w:rsid w:val="002F338A"/>
    <w:rsid w:val="002F36D0"/>
    <w:rsid w:val="002F4148"/>
    <w:rsid w:val="002F4378"/>
    <w:rsid w:val="002F6488"/>
    <w:rsid w:val="002F7CB7"/>
    <w:rsid w:val="0030031F"/>
    <w:rsid w:val="00300F43"/>
    <w:rsid w:val="00303F6D"/>
    <w:rsid w:val="00304529"/>
    <w:rsid w:val="003058D0"/>
    <w:rsid w:val="00311772"/>
    <w:rsid w:val="0031254B"/>
    <w:rsid w:val="00312B2E"/>
    <w:rsid w:val="003141D2"/>
    <w:rsid w:val="003176CF"/>
    <w:rsid w:val="003176D4"/>
    <w:rsid w:val="00320839"/>
    <w:rsid w:val="00320D31"/>
    <w:rsid w:val="003213F9"/>
    <w:rsid w:val="00323DBF"/>
    <w:rsid w:val="00325F9A"/>
    <w:rsid w:val="003266D8"/>
    <w:rsid w:val="00326D85"/>
    <w:rsid w:val="00327559"/>
    <w:rsid w:val="00330338"/>
    <w:rsid w:val="003307B3"/>
    <w:rsid w:val="003309A8"/>
    <w:rsid w:val="00330A0E"/>
    <w:rsid w:val="00331BF8"/>
    <w:rsid w:val="00332B12"/>
    <w:rsid w:val="00333FA5"/>
    <w:rsid w:val="003341A7"/>
    <w:rsid w:val="0033595A"/>
    <w:rsid w:val="0033669C"/>
    <w:rsid w:val="00337CA3"/>
    <w:rsid w:val="00340857"/>
    <w:rsid w:val="003408A6"/>
    <w:rsid w:val="00340B19"/>
    <w:rsid w:val="00340F97"/>
    <w:rsid w:val="00344792"/>
    <w:rsid w:val="00344D7A"/>
    <w:rsid w:val="00345F06"/>
    <w:rsid w:val="0034723F"/>
    <w:rsid w:val="00350971"/>
    <w:rsid w:val="003512DC"/>
    <w:rsid w:val="00351368"/>
    <w:rsid w:val="00351B07"/>
    <w:rsid w:val="00352CF2"/>
    <w:rsid w:val="0035357D"/>
    <w:rsid w:val="00355DBD"/>
    <w:rsid w:val="003605C5"/>
    <w:rsid w:val="00361453"/>
    <w:rsid w:val="00361DFF"/>
    <w:rsid w:val="00362245"/>
    <w:rsid w:val="00362DF0"/>
    <w:rsid w:val="00364841"/>
    <w:rsid w:val="00365892"/>
    <w:rsid w:val="0036679E"/>
    <w:rsid w:val="00366835"/>
    <w:rsid w:val="0036690B"/>
    <w:rsid w:val="0036699B"/>
    <w:rsid w:val="00366D19"/>
    <w:rsid w:val="00367396"/>
    <w:rsid w:val="00367BEC"/>
    <w:rsid w:val="00370BAB"/>
    <w:rsid w:val="00371B29"/>
    <w:rsid w:val="0037376C"/>
    <w:rsid w:val="00375D2A"/>
    <w:rsid w:val="0037656B"/>
    <w:rsid w:val="00377593"/>
    <w:rsid w:val="00377834"/>
    <w:rsid w:val="00377D75"/>
    <w:rsid w:val="00380FFE"/>
    <w:rsid w:val="0038143C"/>
    <w:rsid w:val="00381809"/>
    <w:rsid w:val="00381D8F"/>
    <w:rsid w:val="00382411"/>
    <w:rsid w:val="00382B7C"/>
    <w:rsid w:val="00382E60"/>
    <w:rsid w:val="00385124"/>
    <w:rsid w:val="003851F4"/>
    <w:rsid w:val="00385D3F"/>
    <w:rsid w:val="00390716"/>
    <w:rsid w:val="003911D8"/>
    <w:rsid w:val="00391769"/>
    <w:rsid w:val="00391A3B"/>
    <w:rsid w:val="00392115"/>
    <w:rsid w:val="003929AE"/>
    <w:rsid w:val="00393571"/>
    <w:rsid w:val="00393FF4"/>
    <w:rsid w:val="0039406A"/>
    <w:rsid w:val="003953E1"/>
    <w:rsid w:val="003956B3"/>
    <w:rsid w:val="00397BDB"/>
    <w:rsid w:val="00397DCE"/>
    <w:rsid w:val="003A414C"/>
    <w:rsid w:val="003A4621"/>
    <w:rsid w:val="003A62B8"/>
    <w:rsid w:val="003A68BE"/>
    <w:rsid w:val="003A7878"/>
    <w:rsid w:val="003B1805"/>
    <w:rsid w:val="003B2176"/>
    <w:rsid w:val="003B261F"/>
    <w:rsid w:val="003B3995"/>
    <w:rsid w:val="003B3C9D"/>
    <w:rsid w:val="003B43D8"/>
    <w:rsid w:val="003B4820"/>
    <w:rsid w:val="003B5EE7"/>
    <w:rsid w:val="003B5F98"/>
    <w:rsid w:val="003B6023"/>
    <w:rsid w:val="003B6F7B"/>
    <w:rsid w:val="003B78E0"/>
    <w:rsid w:val="003B7E9E"/>
    <w:rsid w:val="003C2658"/>
    <w:rsid w:val="003C46CD"/>
    <w:rsid w:val="003C4969"/>
    <w:rsid w:val="003C4BA9"/>
    <w:rsid w:val="003C4C28"/>
    <w:rsid w:val="003C6399"/>
    <w:rsid w:val="003D02A8"/>
    <w:rsid w:val="003D09B5"/>
    <w:rsid w:val="003D2DB2"/>
    <w:rsid w:val="003D50DA"/>
    <w:rsid w:val="003D5EA8"/>
    <w:rsid w:val="003D6D51"/>
    <w:rsid w:val="003D75CB"/>
    <w:rsid w:val="003E2F0D"/>
    <w:rsid w:val="003E41D5"/>
    <w:rsid w:val="003E46BA"/>
    <w:rsid w:val="003E49DC"/>
    <w:rsid w:val="003E49E9"/>
    <w:rsid w:val="003E4A72"/>
    <w:rsid w:val="003E61FB"/>
    <w:rsid w:val="003E72C3"/>
    <w:rsid w:val="003E74B2"/>
    <w:rsid w:val="003E7D22"/>
    <w:rsid w:val="003F0666"/>
    <w:rsid w:val="003F2D07"/>
    <w:rsid w:val="003F3D18"/>
    <w:rsid w:val="003F3DA7"/>
    <w:rsid w:val="003F3EEC"/>
    <w:rsid w:val="003F4DCD"/>
    <w:rsid w:val="003F67CF"/>
    <w:rsid w:val="003F74C1"/>
    <w:rsid w:val="003F7546"/>
    <w:rsid w:val="003F7707"/>
    <w:rsid w:val="00400CFA"/>
    <w:rsid w:val="00401A7C"/>
    <w:rsid w:val="00403CF1"/>
    <w:rsid w:val="00404DDE"/>
    <w:rsid w:val="004054C0"/>
    <w:rsid w:val="00405B1A"/>
    <w:rsid w:val="00410C76"/>
    <w:rsid w:val="00411907"/>
    <w:rsid w:val="00411D44"/>
    <w:rsid w:val="00411E1A"/>
    <w:rsid w:val="00412A3D"/>
    <w:rsid w:val="00413566"/>
    <w:rsid w:val="00413602"/>
    <w:rsid w:val="00413CA8"/>
    <w:rsid w:val="00414FD0"/>
    <w:rsid w:val="00415002"/>
    <w:rsid w:val="004171DE"/>
    <w:rsid w:val="00417B31"/>
    <w:rsid w:val="00417EE3"/>
    <w:rsid w:val="004207EB"/>
    <w:rsid w:val="00421436"/>
    <w:rsid w:val="00421644"/>
    <w:rsid w:val="00421677"/>
    <w:rsid w:val="004219E8"/>
    <w:rsid w:val="00422186"/>
    <w:rsid w:val="00423BF4"/>
    <w:rsid w:val="004261C6"/>
    <w:rsid w:val="0042719E"/>
    <w:rsid w:val="00430354"/>
    <w:rsid w:val="00431713"/>
    <w:rsid w:val="00431FC8"/>
    <w:rsid w:val="00433276"/>
    <w:rsid w:val="0043333B"/>
    <w:rsid w:val="004338EE"/>
    <w:rsid w:val="00433BFA"/>
    <w:rsid w:val="00433D85"/>
    <w:rsid w:val="004343AC"/>
    <w:rsid w:val="00435265"/>
    <w:rsid w:val="00435799"/>
    <w:rsid w:val="00435A5B"/>
    <w:rsid w:val="00437276"/>
    <w:rsid w:val="0044068D"/>
    <w:rsid w:val="0044215F"/>
    <w:rsid w:val="00444815"/>
    <w:rsid w:val="00444A1C"/>
    <w:rsid w:val="004462F7"/>
    <w:rsid w:val="004466DC"/>
    <w:rsid w:val="004514B4"/>
    <w:rsid w:val="00453A02"/>
    <w:rsid w:val="00455D92"/>
    <w:rsid w:val="00456620"/>
    <w:rsid w:val="00456B54"/>
    <w:rsid w:val="004572F0"/>
    <w:rsid w:val="00460BBD"/>
    <w:rsid w:val="00463DB5"/>
    <w:rsid w:val="00463FE1"/>
    <w:rsid w:val="00464643"/>
    <w:rsid w:val="00464ABE"/>
    <w:rsid w:val="00466B4D"/>
    <w:rsid w:val="004703EE"/>
    <w:rsid w:val="00473B0D"/>
    <w:rsid w:val="004746DF"/>
    <w:rsid w:val="004759FA"/>
    <w:rsid w:val="004773FB"/>
    <w:rsid w:val="00480459"/>
    <w:rsid w:val="00480776"/>
    <w:rsid w:val="00486131"/>
    <w:rsid w:val="00486793"/>
    <w:rsid w:val="00487B54"/>
    <w:rsid w:val="004924E2"/>
    <w:rsid w:val="00492BCB"/>
    <w:rsid w:val="004937B0"/>
    <w:rsid w:val="004941DE"/>
    <w:rsid w:val="00494417"/>
    <w:rsid w:val="00494A31"/>
    <w:rsid w:val="004951DB"/>
    <w:rsid w:val="0049662D"/>
    <w:rsid w:val="004975DE"/>
    <w:rsid w:val="004976A9"/>
    <w:rsid w:val="004A1FBC"/>
    <w:rsid w:val="004A2037"/>
    <w:rsid w:val="004A34FA"/>
    <w:rsid w:val="004A3AAF"/>
    <w:rsid w:val="004A54F6"/>
    <w:rsid w:val="004A5BC6"/>
    <w:rsid w:val="004A5D72"/>
    <w:rsid w:val="004A5FC6"/>
    <w:rsid w:val="004A6467"/>
    <w:rsid w:val="004A746F"/>
    <w:rsid w:val="004B0630"/>
    <w:rsid w:val="004B09EA"/>
    <w:rsid w:val="004B21C2"/>
    <w:rsid w:val="004B3084"/>
    <w:rsid w:val="004B3430"/>
    <w:rsid w:val="004B373C"/>
    <w:rsid w:val="004B4190"/>
    <w:rsid w:val="004B4A44"/>
    <w:rsid w:val="004B5275"/>
    <w:rsid w:val="004B6585"/>
    <w:rsid w:val="004B695F"/>
    <w:rsid w:val="004C0EB5"/>
    <w:rsid w:val="004C175C"/>
    <w:rsid w:val="004C2CE7"/>
    <w:rsid w:val="004C4720"/>
    <w:rsid w:val="004C5CA6"/>
    <w:rsid w:val="004C5DF2"/>
    <w:rsid w:val="004C6023"/>
    <w:rsid w:val="004C6162"/>
    <w:rsid w:val="004C6B01"/>
    <w:rsid w:val="004C78E9"/>
    <w:rsid w:val="004C7C6E"/>
    <w:rsid w:val="004D0559"/>
    <w:rsid w:val="004D2D55"/>
    <w:rsid w:val="004D3092"/>
    <w:rsid w:val="004D3155"/>
    <w:rsid w:val="004D34D2"/>
    <w:rsid w:val="004D44BA"/>
    <w:rsid w:val="004D4D88"/>
    <w:rsid w:val="004D5CF1"/>
    <w:rsid w:val="004D72DE"/>
    <w:rsid w:val="004D76F7"/>
    <w:rsid w:val="004E078C"/>
    <w:rsid w:val="004E191D"/>
    <w:rsid w:val="004E1EDB"/>
    <w:rsid w:val="004E2636"/>
    <w:rsid w:val="004E360E"/>
    <w:rsid w:val="004E3EC3"/>
    <w:rsid w:val="004E3EE1"/>
    <w:rsid w:val="004E4640"/>
    <w:rsid w:val="004E4F34"/>
    <w:rsid w:val="004E50CC"/>
    <w:rsid w:val="004E7E38"/>
    <w:rsid w:val="004F06F7"/>
    <w:rsid w:val="004F135A"/>
    <w:rsid w:val="004F16B1"/>
    <w:rsid w:val="004F2BD2"/>
    <w:rsid w:val="004F39EC"/>
    <w:rsid w:val="004F4F98"/>
    <w:rsid w:val="004F69F6"/>
    <w:rsid w:val="004F6D0A"/>
    <w:rsid w:val="004F79AC"/>
    <w:rsid w:val="00500B3E"/>
    <w:rsid w:val="005017CF"/>
    <w:rsid w:val="00501B4D"/>
    <w:rsid w:val="00505095"/>
    <w:rsid w:val="00511F2C"/>
    <w:rsid w:val="00512B28"/>
    <w:rsid w:val="0051301F"/>
    <w:rsid w:val="00513D64"/>
    <w:rsid w:val="00513FA7"/>
    <w:rsid w:val="00514B8D"/>
    <w:rsid w:val="00514EF6"/>
    <w:rsid w:val="00516D8C"/>
    <w:rsid w:val="005207D8"/>
    <w:rsid w:val="00520D78"/>
    <w:rsid w:val="00521C89"/>
    <w:rsid w:val="00523DF4"/>
    <w:rsid w:val="00525D2F"/>
    <w:rsid w:val="00530605"/>
    <w:rsid w:val="0053073D"/>
    <w:rsid w:val="00531F78"/>
    <w:rsid w:val="005323F5"/>
    <w:rsid w:val="0053306F"/>
    <w:rsid w:val="00533539"/>
    <w:rsid w:val="00533CF1"/>
    <w:rsid w:val="0053464E"/>
    <w:rsid w:val="0053469F"/>
    <w:rsid w:val="00535598"/>
    <w:rsid w:val="005362F5"/>
    <w:rsid w:val="00536E01"/>
    <w:rsid w:val="00540081"/>
    <w:rsid w:val="0054019C"/>
    <w:rsid w:val="0054046A"/>
    <w:rsid w:val="00540CAD"/>
    <w:rsid w:val="0054253D"/>
    <w:rsid w:val="00542605"/>
    <w:rsid w:val="0054272D"/>
    <w:rsid w:val="00543148"/>
    <w:rsid w:val="0054394E"/>
    <w:rsid w:val="00543B2A"/>
    <w:rsid w:val="0054527F"/>
    <w:rsid w:val="00545387"/>
    <w:rsid w:val="0054721D"/>
    <w:rsid w:val="00551475"/>
    <w:rsid w:val="00551AC3"/>
    <w:rsid w:val="00551CA0"/>
    <w:rsid w:val="005534AA"/>
    <w:rsid w:val="00554C63"/>
    <w:rsid w:val="005550F2"/>
    <w:rsid w:val="00555697"/>
    <w:rsid w:val="0055648D"/>
    <w:rsid w:val="005565DD"/>
    <w:rsid w:val="00557719"/>
    <w:rsid w:val="00560291"/>
    <w:rsid w:val="00560414"/>
    <w:rsid w:val="00561141"/>
    <w:rsid w:val="005617A4"/>
    <w:rsid w:val="00562917"/>
    <w:rsid w:val="00562BA8"/>
    <w:rsid w:val="00564269"/>
    <w:rsid w:val="005645E6"/>
    <w:rsid w:val="00564E56"/>
    <w:rsid w:val="005654FC"/>
    <w:rsid w:val="00570976"/>
    <w:rsid w:val="00571541"/>
    <w:rsid w:val="005715F9"/>
    <w:rsid w:val="00572703"/>
    <w:rsid w:val="00574264"/>
    <w:rsid w:val="005743A3"/>
    <w:rsid w:val="0057615C"/>
    <w:rsid w:val="00576471"/>
    <w:rsid w:val="00576E35"/>
    <w:rsid w:val="0057799A"/>
    <w:rsid w:val="00580FE1"/>
    <w:rsid w:val="00582780"/>
    <w:rsid w:val="005827FE"/>
    <w:rsid w:val="005836A5"/>
    <w:rsid w:val="005855FF"/>
    <w:rsid w:val="00586228"/>
    <w:rsid w:val="00591261"/>
    <w:rsid w:val="005933C1"/>
    <w:rsid w:val="00594FE8"/>
    <w:rsid w:val="00596045"/>
    <w:rsid w:val="005A1D97"/>
    <w:rsid w:val="005A28BB"/>
    <w:rsid w:val="005A4629"/>
    <w:rsid w:val="005A4D44"/>
    <w:rsid w:val="005A535D"/>
    <w:rsid w:val="005A58F3"/>
    <w:rsid w:val="005A68C1"/>
    <w:rsid w:val="005A6AF1"/>
    <w:rsid w:val="005B08FE"/>
    <w:rsid w:val="005B5B6B"/>
    <w:rsid w:val="005B6AF4"/>
    <w:rsid w:val="005B7A73"/>
    <w:rsid w:val="005C01B3"/>
    <w:rsid w:val="005C04CB"/>
    <w:rsid w:val="005C10A1"/>
    <w:rsid w:val="005C2182"/>
    <w:rsid w:val="005C45CC"/>
    <w:rsid w:val="005C5C9F"/>
    <w:rsid w:val="005C78C2"/>
    <w:rsid w:val="005C7D95"/>
    <w:rsid w:val="005D01A2"/>
    <w:rsid w:val="005D13A9"/>
    <w:rsid w:val="005D15DB"/>
    <w:rsid w:val="005D16AD"/>
    <w:rsid w:val="005D29BD"/>
    <w:rsid w:val="005D359B"/>
    <w:rsid w:val="005D3A7A"/>
    <w:rsid w:val="005D3CAD"/>
    <w:rsid w:val="005D457E"/>
    <w:rsid w:val="005D4C92"/>
    <w:rsid w:val="005D582E"/>
    <w:rsid w:val="005D5D89"/>
    <w:rsid w:val="005D72E1"/>
    <w:rsid w:val="005E0289"/>
    <w:rsid w:val="005E06F3"/>
    <w:rsid w:val="005E0CDD"/>
    <w:rsid w:val="005E3739"/>
    <w:rsid w:val="005E4627"/>
    <w:rsid w:val="005E4914"/>
    <w:rsid w:val="005E4DA7"/>
    <w:rsid w:val="005E59C0"/>
    <w:rsid w:val="005E6E16"/>
    <w:rsid w:val="005E6F67"/>
    <w:rsid w:val="005E7778"/>
    <w:rsid w:val="005E7AEE"/>
    <w:rsid w:val="005F0A59"/>
    <w:rsid w:val="005F13F4"/>
    <w:rsid w:val="005F1B0D"/>
    <w:rsid w:val="005F21BF"/>
    <w:rsid w:val="005F3825"/>
    <w:rsid w:val="005F400E"/>
    <w:rsid w:val="005F6A37"/>
    <w:rsid w:val="005F7342"/>
    <w:rsid w:val="00600646"/>
    <w:rsid w:val="006021AA"/>
    <w:rsid w:val="00602324"/>
    <w:rsid w:val="00602EF5"/>
    <w:rsid w:val="00603A08"/>
    <w:rsid w:val="00604DB3"/>
    <w:rsid w:val="00606DD4"/>
    <w:rsid w:val="00606E01"/>
    <w:rsid w:val="00606ECE"/>
    <w:rsid w:val="006102AC"/>
    <w:rsid w:val="0061065C"/>
    <w:rsid w:val="0061074E"/>
    <w:rsid w:val="00610A3C"/>
    <w:rsid w:val="006123BE"/>
    <w:rsid w:val="00613706"/>
    <w:rsid w:val="00615EFF"/>
    <w:rsid w:val="0061605C"/>
    <w:rsid w:val="006178C3"/>
    <w:rsid w:val="00621499"/>
    <w:rsid w:val="00623585"/>
    <w:rsid w:val="0062471F"/>
    <w:rsid w:val="0062473A"/>
    <w:rsid w:val="00624E13"/>
    <w:rsid w:val="006251BE"/>
    <w:rsid w:val="006251E5"/>
    <w:rsid w:val="0062788F"/>
    <w:rsid w:val="00627F48"/>
    <w:rsid w:val="00630008"/>
    <w:rsid w:val="006304F0"/>
    <w:rsid w:val="00630862"/>
    <w:rsid w:val="00630C23"/>
    <w:rsid w:val="00631779"/>
    <w:rsid w:val="006318B0"/>
    <w:rsid w:val="00631AC9"/>
    <w:rsid w:val="00637A34"/>
    <w:rsid w:val="0064075C"/>
    <w:rsid w:val="00640A2A"/>
    <w:rsid w:val="00640FFF"/>
    <w:rsid w:val="00641AAF"/>
    <w:rsid w:val="00641C73"/>
    <w:rsid w:val="00641FD4"/>
    <w:rsid w:val="006435AE"/>
    <w:rsid w:val="00645494"/>
    <w:rsid w:val="006460AB"/>
    <w:rsid w:val="0064635C"/>
    <w:rsid w:val="00646395"/>
    <w:rsid w:val="006466F3"/>
    <w:rsid w:val="006476DD"/>
    <w:rsid w:val="00647FB4"/>
    <w:rsid w:val="006503FB"/>
    <w:rsid w:val="006511BC"/>
    <w:rsid w:val="00651F4B"/>
    <w:rsid w:val="00652D83"/>
    <w:rsid w:val="0065449C"/>
    <w:rsid w:val="00654C14"/>
    <w:rsid w:val="00655993"/>
    <w:rsid w:val="00655F5D"/>
    <w:rsid w:val="0065670F"/>
    <w:rsid w:val="006567C2"/>
    <w:rsid w:val="00657543"/>
    <w:rsid w:val="006600C7"/>
    <w:rsid w:val="00660ED0"/>
    <w:rsid w:val="00661147"/>
    <w:rsid w:val="0066208D"/>
    <w:rsid w:val="00662503"/>
    <w:rsid w:val="00662936"/>
    <w:rsid w:val="00663FCF"/>
    <w:rsid w:val="00664F21"/>
    <w:rsid w:val="006652A2"/>
    <w:rsid w:val="00666768"/>
    <w:rsid w:val="006669DD"/>
    <w:rsid w:val="00667EC0"/>
    <w:rsid w:val="00671297"/>
    <w:rsid w:val="00672455"/>
    <w:rsid w:val="00675DE0"/>
    <w:rsid w:val="00677FA7"/>
    <w:rsid w:val="006804EF"/>
    <w:rsid w:val="00681457"/>
    <w:rsid w:val="0068297F"/>
    <w:rsid w:val="006851D3"/>
    <w:rsid w:val="00685479"/>
    <w:rsid w:val="00685DEB"/>
    <w:rsid w:val="00685FA3"/>
    <w:rsid w:val="006876A2"/>
    <w:rsid w:val="00690206"/>
    <w:rsid w:val="00691616"/>
    <w:rsid w:val="00692A68"/>
    <w:rsid w:val="006937FF"/>
    <w:rsid w:val="00693FFB"/>
    <w:rsid w:val="0069475F"/>
    <w:rsid w:val="00696D59"/>
    <w:rsid w:val="0069767B"/>
    <w:rsid w:val="006A1DAE"/>
    <w:rsid w:val="006A29C3"/>
    <w:rsid w:val="006A29D1"/>
    <w:rsid w:val="006A367B"/>
    <w:rsid w:val="006A4289"/>
    <w:rsid w:val="006A48A7"/>
    <w:rsid w:val="006A60D0"/>
    <w:rsid w:val="006B0EFE"/>
    <w:rsid w:val="006B20E1"/>
    <w:rsid w:val="006B288F"/>
    <w:rsid w:val="006B30BC"/>
    <w:rsid w:val="006B40DE"/>
    <w:rsid w:val="006B4BA1"/>
    <w:rsid w:val="006B4D04"/>
    <w:rsid w:val="006B5EBE"/>
    <w:rsid w:val="006B6218"/>
    <w:rsid w:val="006B67D1"/>
    <w:rsid w:val="006B7620"/>
    <w:rsid w:val="006C10B5"/>
    <w:rsid w:val="006C17C4"/>
    <w:rsid w:val="006C3272"/>
    <w:rsid w:val="006C33E1"/>
    <w:rsid w:val="006C4E40"/>
    <w:rsid w:val="006C5CF5"/>
    <w:rsid w:val="006C755E"/>
    <w:rsid w:val="006D0A98"/>
    <w:rsid w:val="006D4807"/>
    <w:rsid w:val="006D55C3"/>
    <w:rsid w:val="006D59F0"/>
    <w:rsid w:val="006D5A2B"/>
    <w:rsid w:val="006E2BB4"/>
    <w:rsid w:val="006E3105"/>
    <w:rsid w:val="006E3133"/>
    <w:rsid w:val="006E55A3"/>
    <w:rsid w:val="006E6F79"/>
    <w:rsid w:val="006E7723"/>
    <w:rsid w:val="006E77DD"/>
    <w:rsid w:val="006F2532"/>
    <w:rsid w:val="006F3A97"/>
    <w:rsid w:val="006F4A82"/>
    <w:rsid w:val="006F4F3E"/>
    <w:rsid w:val="006F6C7E"/>
    <w:rsid w:val="006F709E"/>
    <w:rsid w:val="00702D1C"/>
    <w:rsid w:val="0070373B"/>
    <w:rsid w:val="00706D3B"/>
    <w:rsid w:val="00706E87"/>
    <w:rsid w:val="0070736D"/>
    <w:rsid w:val="007078E3"/>
    <w:rsid w:val="00707D27"/>
    <w:rsid w:val="00711F58"/>
    <w:rsid w:val="00713540"/>
    <w:rsid w:val="00713B1A"/>
    <w:rsid w:val="00715440"/>
    <w:rsid w:val="00715876"/>
    <w:rsid w:val="00716A5C"/>
    <w:rsid w:val="00716AA1"/>
    <w:rsid w:val="007207C3"/>
    <w:rsid w:val="00720943"/>
    <w:rsid w:val="00721FC4"/>
    <w:rsid w:val="00723CBB"/>
    <w:rsid w:val="00724FA4"/>
    <w:rsid w:val="007255C4"/>
    <w:rsid w:val="00725EB3"/>
    <w:rsid w:val="00726525"/>
    <w:rsid w:val="00730800"/>
    <w:rsid w:val="00730825"/>
    <w:rsid w:val="00731A95"/>
    <w:rsid w:val="007342DB"/>
    <w:rsid w:val="00734BCD"/>
    <w:rsid w:val="00735BFE"/>
    <w:rsid w:val="0073656B"/>
    <w:rsid w:val="00736DF6"/>
    <w:rsid w:val="0074095F"/>
    <w:rsid w:val="00740DEC"/>
    <w:rsid w:val="007417CF"/>
    <w:rsid w:val="00742BA3"/>
    <w:rsid w:val="00742E22"/>
    <w:rsid w:val="00743CEF"/>
    <w:rsid w:val="0074435D"/>
    <w:rsid w:val="0074578E"/>
    <w:rsid w:val="007462F1"/>
    <w:rsid w:val="007478F4"/>
    <w:rsid w:val="00747F92"/>
    <w:rsid w:val="00750AB9"/>
    <w:rsid w:val="00750F29"/>
    <w:rsid w:val="00751A72"/>
    <w:rsid w:val="0075205E"/>
    <w:rsid w:val="00754E45"/>
    <w:rsid w:val="00755D12"/>
    <w:rsid w:val="00756664"/>
    <w:rsid w:val="00756F8D"/>
    <w:rsid w:val="00756FA8"/>
    <w:rsid w:val="007602AA"/>
    <w:rsid w:val="00762986"/>
    <w:rsid w:val="00763841"/>
    <w:rsid w:val="00763DE9"/>
    <w:rsid w:val="007652EF"/>
    <w:rsid w:val="0076783A"/>
    <w:rsid w:val="00772BDC"/>
    <w:rsid w:val="00773910"/>
    <w:rsid w:val="00776610"/>
    <w:rsid w:val="00776ED4"/>
    <w:rsid w:val="00780792"/>
    <w:rsid w:val="007809F4"/>
    <w:rsid w:val="007822B4"/>
    <w:rsid w:val="00786369"/>
    <w:rsid w:val="00787B32"/>
    <w:rsid w:val="00790195"/>
    <w:rsid w:val="00791759"/>
    <w:rsid w:val="007938EB"/>
    <w:rsid w:val="00794E72"/>
    <w:rsid w:val="00795387"/>
    <w:rsid w:val="007963F5"/>
    <w:rsid w:val="00796562"/>
    <w:rsid w:val="00796BBD"/>
    <w:rsid w:val="007972D7"/>
    <w:rsid w:val="007A3146"/>
    <w:rsid w:val="007A35D9"/>
    <w:rsid w:val="007A44B4"/>
    <w:rsid w:val="007A4A69"/>
    <w:rsid w:val="007A57BF"/>
    <w:rsid w:val="007A5C7B"/>
    <w:rsid w:val="007A5D5B"/>
    <w:rsid w:val="007A6D2E"/>
    <w:rsid w:val="007A72BA"/>
    <w:rsid w:val="007A7D3D"/>
    <w:rsid w:val="007B225D"/>
    <w:rsid w:val="007B363A"/>
    <w:rsid w:val="007B37DC"/>
    <w:rsid w:val="007B5AE7"/>
    <w:rsid w:val="007B7827"/>
    <w:rsid w:val="007B7870"/>
    <w:rsid w:val="007C0F91"/>
    <w:rsid w:val="007C16E3"/>
    <w:rsid w:val="007C174F"/>
    <w:rsid w:val="007C1C64"/>
    <w:rsid w:val="007C23F7"/>
    <w:rsid w:val="007C359E"/>
    <w:rsid w:val="007C4849"/>
    <w:rsid w:val="007C5678"/>
    <w:rsid w:val="007C647C"/>
    <w:rsid w:val="007C6EE4"/>
    <w:rsid w:val="007D03EA"/>
    <w:rsid w:val="007D2160"/>
    <w:rsid w:val="007D5522"/>
    <w:rsid w:val="007D57CB"/>
    <w:rsid w:val="007D6CE7"/>
    <w:rsid w:val="007D6F4D"/>
    <w:rsid w:val="007E02AA"/>
    <w:rsid w:val="007E02CF"/>
    <w:rsid w:val="007E0EC1"/>
    <w:rsid w:val="007E1FF8"/>
    <w:rsid w:val="007E2266"/>
    <w:rsid w:val="007E25A9"/>
    <w:rsid w:val="007E25CA"/>
    <w:rsid w:val="007E3E3F"/>
    <w:rsid w:val="007E4585"/>
    <w:rsid w:val="007E48BC"/>
    <w:rsid w:val="007E4B19"/>
    <w:rsid w:val="007E79F7"/>
    <w:rsid w:val="007F0370"/>
    <w:rsid w:val="007F2C37"/>
    <w:rsid w:val="007F3630"/>
    <w:rsid w:val="007F3B93"/>
    <w:rsid w:val="00800AA6"/>
    <w:rsid w:val="00801F01"/>
    <w:rsid w:val="008024E6"/>
    <w:rsid w:val="00802721"/>
    <w:rsid w:val="00802AEB"/>
    <w:rsid w:val="00802C2D"/>
    <w:rsid w:val="00802CCE"/>
    <w:rsid w:val="008031F2"/>
    <w:rsid w:val="00804223"/>
    <w:rsid w:val="008043D2"/>
    <w:rsid w:val="00804A22"/>
    <w:rsid w:val="00804B3B"/>
    <w:rsid w:val="00807559"/>
    <w:rsid w:val="008105BD"/>
    <w:rsid w:val="00814091"/>
    <w:rsid w:val="0081469A"/>
    <w:rsid w:val="0081691E"/>
    <w:rsid w:val="00820603"/>
    <w:rsid w:val="00820D7E"/>
    <w:rsid w:val="0082340D"/>
    <w:rsid w:val="008241AA"/>
    <w:rsid w:val="008256B4"/>
    <w:rsid w:val="00825F14"/>
    <w:rsid w:val="0082609B"/>
    <w:rsid w:val="008267D1"/>
    <w:rsid w:val="0082712A"/>
    <w:rsid w:val="00827179"/>
    <w:rsid w:val="00827B67"/>
    <w:rsid w:val="00831754"/>
    <w:rsid w:val="008333A9"/>
    <w:rsid w:val="00834B8B"/>
    <w:rsid w:val="00840414"/>
    <w:rsid w:val="0084106E"/>
    <w:rsid w:val="008414AD"/>
    <w:rsid w:val="00842098"/>
    <w:rsid w:val="008450BC"/>
    <w:rsid w:val="00846061"/>
    <w:rsid w:val="0084664B"/>
    <w:rsid w:val="008471CE"/>
    <w:rsid w:val="0085207D"/>
    <w:rsid w:val="0085228A"/>
    <w:rsid w:val="0085334B"/>
    <w:rsid w:val="008544AF"/>
    <w:rsid w:val="008556B3"/>
    <w:rsid w:val="00857525"/>
    <w:rsid w:val="00860CAE"/>
    <w:rsid w:val="00861108"/>
    <w:rsid w:val="008661DC"/>
    <w:rsid w:val="00866B57"/>
    <w:rsid w:val="00867238"/>
    <w:rsid w:val="008677A8"/>
    <w:rsid w:val="00870214"/>
    <w:rsid w:val="00870B2B"/>
    <w:rsid w:val="00872126"/>
    <w:rsid w:val="008733DF"/>
    <w:rsid w:val="00873B50"/>
    <w:rsid w:val="00873CDE"/>
    <w:rsid w:val="00874267"/>
    <w:rsid w:val="008766E8"/>
    <w:rsid w:val="008806BB"/>
    <w:rsid w:val="00884E8A"/>
    <w:rsid w:val="00885174"/>
    <w:rsid w:val="00885B13"/>
    <w:rsid w:val="00885C51"/>
    <w:rsid w:val="00885EB0"/>
    <w:rsid w:val="008863AB"/>
    <w:rsid w:val="00886E58"/>
    <w:rsid w:val="00890497"/>
    <w:rsid w:val="00890D3B"/>
    <w:rsid w:val="00891F4B"/>
    <w:rsid w:val="0089264A"/>
    <w:rsid w:val="008934D4"/>
    <w:rsid w:val="0089351A"/>
    <w:rsid w:val="008936AD"/>
    <w:rsid w:val="00893D3D"/>
    <w:rsid w:val="008946E3"/>
    <w:rsid w:val="00896B85"/>
    <w:rsid w:val="008A22BE"/>
    <w:rsid w:val="008A26D7"/>
    <w:rsid w:val="008A3BB3"/>
    <w:rsid w:val="008A4775"/>
    <w:rsid w:val="008A5B71"/>
    <w:rsid w:val="008A671F"/>
    <w:rsid w:val="008A6F47"/>
    <w:rsid w:val="008A7C37"/>
    <w:rsid w:val="008B2059"/>
    <w:rsid w:val="008B21DC"/>
    <w:rsid w:val="008B462D"/>
    <w:rsid w:val="008B49E2"/>
    <w:rsid w:val="008B4FB1"/>
    <w:rsid w:val="008B6338"/>
    <w:rsid w:val="008B790F"/>
    <w:rsid w:val="008C1781"/>
    <w:rsid w:val="008C1A15"/>
    <w:rsid w:val="008C1B36"/>
    <w:rsid w:val="008C2011"/>
    <w:rsid w:val="008C4999"/>
    <w:rsid w:val="008C5727"/>
    <w:rsid w:val="008C6B2E"/>
    <w:rsid w:val="008C7F53"/>
    <w:rsid w:val="008D06C6"/>
    <w:rsid w:val="008D0B76"/>
    <w:rsid w:val="008D44CA"/>
    <w:rsid w:val="008D4DAD"/>
    <w:rsid w:val="008D720A"/>
    <w:rsid w:val="008D7FD1"/>
    <w:rsid w:val="008E05F0"/>
    <w:rsid w:val="008E1D7B"/>
    <w:rsid w:val="008E1E38"/>
    <w:rsid w:val="008E3A55"/>
    <w:rsid w:val="008E46E7"/>
    <w:rsid w:val="008E5103"/>
    <w:rsid w:val="008E5CBF"/>
    <w:rsid w:val="008E6250"/>
    <w:rsid w:val="008F066A"/>
    <w:rsid w:val="008F14A7"/>
    <w:rsid w:val="008F23DF"/>
    <w:rsid w:val="008F3B39"/>
    <w:rsid w:val="008F3C41"/>
    <w:rsid w:val="008F7032"/>
    <w:rsid w:val="008F77BC"/>
    <w:rsid w:val="008F7B6E"/>
    <w:rsid w:val="00900A5E"/>
    <w:rsid w:val="00900AE0"/>
    <w:rsid w:val="0090128B"/>
    <w:rsid w:val="00902AF6"/>
    <w:rsid w:val="00903243"/>
    <w:rsid w:val="009040F0"/>
    <w:rsid w:val="009054F9"/>
    <w:rsid w:val="00905BC8"/>
    <w:rsid w:val="00907CB2"/>
    <w:rsid w:val="00907EB5"/>
    <w:rsid w:val="0091134C"/>
    <w:rsid w:val="00911E8E"/>
    <w:rsid w:val="00911FB0"/>
    <w:rsid w:val="00912332"/>
    <w:rsid w:val="0091264E"/>
    <w:rsid w:val="009134F5"/>
    <w:rsid w:val="00913994"/>
    <w:rsid w:val="00914A73"/>
    <w:rsid w:val="009161FE"/>
    <w:rsid w:val="00916B9D"/>
    <w:rsid w:val="00917331"/>
    <w:rsid w:val="00920249"/>
    <w:rsid w:val="00920709"/>
    <w:rsid w:val="009224CF"/>
    <w:rsid w:val="009227A2"/>
    <w:rsid w:val="00922EB4"/>
    <w:rsid w:val="0092354E"/>
    <w:rsid w:val="00923B7D"/>
    <w:rsid w:val="00923F3D"/>
    <w:rsid w:val="00924C80"/>
    <w:rsid w:val="00925A8B"/>
    <w:rsid w:val="00925B2F"/>
    <w:rsid w:val="00926058"/>
    <w:rsid w:val="009276DB"/>
    <w:rsid w:val="009277C9"/>
    <w:rsid w:val="009301F0"/>
    <w:rsid w:val="00932F14"/>
    <w:rsid w:val="009338A4"/>
    <w:rsid w:val="00933A6C"/>
    <w:rsid w:val="00933D5C"/>
    <w:rsid w:val="00934267"/>
    <w:rsid w:val="00936287"/>
    <w:rsid w:val="00936E3F"/>
    <w:rsid w:val="0093759B"/>
    <w:rsid w:val="0094152F"/>
    <w:rsid w:val="00941C33"/>
    <w:rsid w:val="0094247F"/>
    <w:rsid w:val="009425CE"/>
    <w:rsid w:val="00942D60"/>
    <w:rsid w:val="00944DDF"/>
    <w:rsid w:val="009505AD"/>
    <w:rsid w:val="00950A05"/>
    <w:rsid w:val="0095127A"/>
    <w:rsid w:val="00954114"/>
    <w:rsid w:val="00954261"/>
    <w:rsid w:val="00955153"/>
    <w:rsid w:val="009558A7"/>
    <w:rsid w:val="009560D1"/>
    <w:rsid w:val="00956133"/>
    <w:rsid w:val="00956E51"/>
    <w:rsid w:val="009575A0"/>
    <w:rsid w:val="00960C2E"/>
    <w:rsid w:val="0096239C"/>
    <w:rsid w:val="0096369F"/>
    <w:rsid w:val="00963759"/>
    <w:rsid w:val="009641DD"/>
    <w:rsid w:val="0096523B"/>
    <w:rsid w:val="00966B6F"/>
    <w:rsid w:val="00966EE3"/>
    <w:rsid w:val="0096791D"/>
    <w:rsid w:val="009702E3"/>
    <w:rsid w:val="009706C9"/>
    <w:rsid w:val="00971539"/>
    <w:rsid w:val="00971FD1"/>
    <w:rsid w:val="00972D06"/>
    <w:rsid w:val="00973BB8"/>
    <w:rsid w:val="00973C63"/>
    <w:rsid w:val="0097512A"/>
    <w:rsid w:val="00975BAC"/>
    <w:rsid w:val="009762DD"/>
    <w:rsid w:val="00976D94"/>
    <w:rsid w:val="00977751"/>
    <w:rsid w:val="009777D5"/>
    <w:rsid w:val="0098032B"/>
    <w:rsid w:val="00980707"/>
    <w:rsid w:val="009815E4"/>
    <w:rsid w:val="00981943"/>
    <w:rsid w:val="00983B54"/>
    <w:rsid w:val="00983D07"/>
    <w:rsid w:val="00985125"/>
    <w:rsid w:val="0098581A"/>
    <w:rsid w:val="00986C7D"/>
    <w:rsid w:val="00986F8F"/>
    <w:rsid w:val="00987D66"/>
    <w:rsid w:val="009904AD"/>
    <w:rsid w:val="009909C6"/>
    <w:rsid w:val="00991B1C"/>
    <w:rsid w:val="009960F0"/>
    <w:rsid w:val="00997D5C"/>
    <w:rsid w:val="009A2D18"/>
    <w:rsid w:val="009A34B4"/>
    <w:rsid w:val="009A37EF"/>
    <w:rsid w:val="009A391C"/>
    <w:rsid w:val="009A50F2"/>
    <w:rsid w:val="009A5507"/>
    <w:rsid w:val="009A7F54"/>
    <w:rsid w:val="009B2FAB"/>
    <w:rsid w:val="009B4858"/>
    <w:rsid w:val="009B6A6B"/>
    <w:rsid w:val="009C465B"/>
    <w:rsid w:val="009C56BD"/>
    <w:rsid w:val="009C6960"/>
    <w:rsid w:val="009D0465"/>
    <w:rsid w:val="009D4635"/>
    <w:rsid w:val="009D6AE6"/>
    <w:rsid w:val="009E0A61"/>
    <w:rsid w:val="009E0FF7"/>
    <w:rsid w:val="009E1FEF"/>
    <w:rsid w:val="009E3010"/>
    <w:rsid w:val="009E35FD"/>
    <w:rsid w:val="009E3C22"/>
    <w:rsid w:val="009E3DE6"/>
    <w:rsid w:val="009E411C"/>
    <w:rsid w:val="009E4636"/>
    <w:rsid w:val="009E62DE"/>
    <w:rsid w:val="009E6FAD"/>
    <w:rsid w:val="009F007E"/>
    <w:rsid w:val="009F3876"/>
    <w:rsid w:val="009F54AF"/>
    <w:rsid w:val="009F7065"/>
    <w:rsid w:val="00A04FF3"/>
    <w:rsid w:val="00A06BBB"/>
    <w:rsid w:val="00A11F53"/>
    <w:rsid w:val="00A12198"/>
    <w:rsid w:val="00A12D50"/>
    <w:rsid w:val="00A1354F"/>
    <w:rsid w:val="00A145CE"/>
    <w:rsid w:val="00A1484C"/>
    <w:rsid w:val="00A15D6F"/>
    <w:rsid w:val="00A20BE7"/>
    <w:rsid w:val="00A263F1"/>
    <w:rsid w:val="00A26EDC"/>
    <w:rsid w:val="00A27307"/>
    <w:rsid w:val="00A2776D"/>
    <w:rsid w:val="00A302A5"/>
    <w:rsid w:val="00A33246"/>
    <w:rsid w:val="00A33AF0"/>
    <w:rsid w:val="00A34156"/>
    <w:rsid w:val="00A37663"/>
    <w:rsid w:val="00A37B02"/>
    <w:rsid w:val="00A37EA6"/>
    <w:rsid w:val="00A4175D"/>
    <w:rsid w:val="00A42B66"/>
    <w:rsid w:val="00A447A8"/>
    <w:rsid w:val="00A4503C"/>
    <w:rsid w:val="00A46578"/>
    <w:rsid w:val="00A512A4"/>
    <w:rsid w:val="00A52776"/>
    <w:rsid w:val="00A527F3"/>
    <w:rsid w:val="00A5297C"/>
    <w:rsid w:val="00A56DC7"/>
    <w:rsid w:val="00A618D8"/>
    <w:rsid w:val="00A62468"/>
    <w:rsid w:val="00A63BD5"/>
    <w:rsid w:val="00A63CBC"/>
    <w:rsid w:val="00A63F0A"/>
    <w:rsid w:val="00A64F67"/>
    <w:rsid w:val="00A66A01"/>
    <w:rsid w:val="00A70F23"/>
    <w:rsid w:val="00A72BFF"/>
    <w:rsid w:val="00A7396B"/>
    <w:rsid w:val="00A740D0"/>
    <w:rsid w:val="00A744B5"/>
    <w:rsid w:val="00A74FD1"/>
    <w:rsid w:val="00A7506A"/>
    <w:rsid w:val="00A758FA"/>
    <w:rsid w:val="00A75E3E"/>
    <w:rsid w:val="00A77B35"/>
    <w:rsid w:val="00A77B7A"/>
    <w:rsid w:val="00A77BFA"/>
    <w:rsid w:val="00A81157"/>
    <w:rsid w:val="00A8155C"/>
    <w:rsid w:val="00A84A58"/>
    <w:rsid w:val="00A84ABC"/>
    <w:rsid w:val="00A86204"/>
    <w:rsid w:val="00A8730E"/>
    <w:rsid w:val="00A87BF7"/>
    <w:rsid w:val="00A916C8"/>
    <w:rsid w:val="00A92049"/>
    <w:rsid w:val="00A923AE"/>
    <w:rsid w:val="00A9272E"/>
    <w:rsid w:val="00A9314A"/>
    <w:rsid w:val="00A93939"/>
    <w:rsid w:val="00A93E82"/>
    <w:rsid w:val="00A95A20"/>
    <w:rsid w:val="00A961A1"/>
    <w:rsid w:val="00A97CE9"/>
    <w:rsid w:val="00AA20CD"/>
    <w:rsid w:val="00AA2F2B"/>
    <w:rsid w:val="00AA3F07"/>
    <w:rsid w:val="00AA5454"/>
    <w:rsid w:val="00AA5B53"/>
    <w:rsid w:val="00AA68E1"/>
    <w:rsid w:val="00AB0671"/>
    <w:rsid w:val="00AB1080"/>
    <w:rsid w:val="00AB10C8"/>
    <w:rsid w:val="00AB4EEB"/>
    <w:rsid w:val="00AB68BD"/>
    <w:rsid w:val="00AB75CC"/>
    <w:rsid w:val="00AB770F"/>
    <w:rsid w:val="00AB7C41"/>
    <w:rsid w:val="00AC0829"/>
    <w:rsid w:val="00AC14E5"/>
    <w:rsid w:val="00AC3F2A"/>
    <w:rsid w:val="00AC6564"/>
    <w:rsid w:val="00AC76CD"/>
    <w:rsid w:val="00AD4FBC"/>
    <w:rsid w:val="00AD5437"/>
    <w:rsid w:val="00AD54E3"/>
    <w:rsid w:val="00AD7885"/>
    <w:rsid w:val="00AD7FCE"/>
    <w:rsid w:val="00AE15FA"/>
    <w:rsid w:val="00AE1614"/>
    <w:rsid w:val="00AE3AD1"/>
    <w:rsid w:val="00AE6C20"/>
    <w:rsid w:val="00AE7F87"/>
    <w:rsid w:val="00AF06FC"/>
    <w:rsid w:val="00AF25BA"/>
    <w:rsid w:val="00AF3391"/>
    <w:rsid w:val="00AF387F"/>
    <w:rsid w:val="00AF3C3F"/>
    <w:rsid w:val="00AF5F95"/>
    <w:rsid w:val="00AF6513"/>
    <w:rsid w:val="00AF6D94"/>
    <w:rsid w:val="00B0035A"/>
    <w:rsid w:val="00B00E7F"/>
    <w:rsid w:val="00B01F9E"/>
    <w:rsid w:val="00B02596"/>
    <w:rsid w:val="00B026AA"/>
    <w:rsid w:val="00B02AE2"/>
    <w:rsid w:val="00B03345"/>
    <w:rsid w:val="00B03C90"/>
    <w:rsid w:val="00B04E0D"/>
    <w:rsid w:val="00B05893"/>
    <w:rsid w:val="00B058C2"/>
    <w:rsid w:val="00B05FDF"/>
    <w:rsid w:val="00B100F6"/>
    <w:rsid w:val="00B10787"/>
    <w:rsid w:val="00B10D58"/>
    <w:rsid w:val="00B12F1E"/>
    <w:rsid w:val="00B142AA"/>
    <w:rsid w:val="00B142FC"/>
    <w:rsid w:val="00B15422"/>
    <w:rsid w:val="00B173DA"/>
    <w:rsid w:val="00B209AA"/>
    <w:rsid w:val="00B21DCC"/>
    <w:rsid w:val="00B22ED0"/>
    <w:rsid w:val="00B2377B"/>
    <w:rsid w:val="00B252E1"/>
    <w:rsid w:val="00B258C2"/>
    <w:rsid w:val="00B25B04"/>
    <w:rsid w:val="00B25DB8"/>
    <w:rsid w:val="00B25F37"/>
    <w:rsid w:val="00B262F4"/>
    <w:rsid w:val="00B26FED"/>
    <w:rsid w:val="00B316B9"/>
    <w:rsid w:val="00B3204F"/>
    <w:rsid w:val="00B32B81"/>
    <w:rsid w:val="00B3343D"/>
    <w:rsid w:val="00B33582"/>
    <w:rsid w:val="00B3497C"/>
    <w:rsid w:val="00B34CB2"/>
    <w:rsid w:val="00B365D9"/>
    <w:rsid w:val="00B366A3"/>
    <w:rsid w:val="00B36D48"/>
    <w:rsid w:val="00B370FF"/>
    <w:rsid w:val="00B37BF0"/>
    <w:rsid w:val="00B405B6"/>
    <w:rsid w:val="00B4152C"/>
    <w:rsid w:val="00B43D89"/>
    <w:rsid w:val="00B44422"/>
    <w:rsid w:val="00B45065"/>
    <w:rsid w:val="00B4600B"/>
    <w:rsid w:val="00B4645C"/>
    <w:rsid w:val="00B46E3E"/>
    <w:rsid w:val="00B46EA0"/>
    <w:rsid w:val="00B47509"/>
    <w:rsid w:val="00B47A05"/>
    <w:rsid w:val="00B47ACF"/>
    <w:rsid w:val="00B504A6"/>
    <w:rsid w:val="00B52132"/>
    <w:rsid w:val="00B528F9"/>
    <w:rsid w:val="00B5291F"/>
    <w:rsid w:val="00B553EF"/>
    <w:rsid w:val="00B56070"/>
    <w:rsid w:val="00B57846"/>
    <w:rsid w:val="00B6003F"/>
    <w:rsid w:val="00B60A04"/>
    <w:rsid w:val="00B64E3A"/>
    <w:rsid w:val="00B67C20"/>
    <w:rsid w:val="00B71ED9"/>
    <w:rsid w:val="00B731D3"/>
    <w:rsid w:val="00B76450"/>
    <w:rsid w:val="00B806A3"/>
    <w:rsid w:val="00B81272"/>
    <w:rsid w:val="00B819F8"/>
    <w:rsid w:val="00B81D3F"/>
    <w:rsid w:val="00B81F80"/>
    <w:rsid w:val="00B82B62"/>
    <w:rsid w:val="00B839A3"/>
    <w:rsid w:val="00B839FB"/>
    <w:rsid w:val="00B85034"/>
    <w:rsid w:val="00B874F2"/>
    <w:rsid w:val="00B8783B"/>
    <w:rsid w:val="00B902BD"/>
    <w:rsid w:val="00B91097"/>
    <w:rsid w:val="00B92A2F"/>
    <w:rsid w:val="00B9319F"/>
    <w:rsid w:val="00B948ED"/>
    <w:rsid w:val="00B94C44"/>
    <w:rsid w:val="00B94E70"/>
    <w:rsid w:val="00B97DA3"/>
    <w:rsid w:val="00BA0F72"/>
    <w:rsid w:val="00BA24E2"/>
    <w:rsid w:val="00BA290C"/>
    <w:rsid w:val="00BA3B10"/>
    <w:rsid w:val="00BA3E84"/>
    <w:rsid w:val="00BA6592"/>
    <w:rsid w:val="00BB0185"/>
    <w:rsid w:val="00BB0AB4"/>
    <w:rsid w:val="00BB3463"/>
    <w:rsid w:val="00BB7236"/>
    <w:rsid w:val="00BB7892"/>
    <w:rsid w:val="00BC3E04"/>
    <w:rsid w:val="00BC48D4"/>
    <w:rsid w:val="00BC4B9D"/>
    <w:rsid w:val="00BD28D9"/>
    <w:rsid w:val="00BD2A39"/>
    <w:rsid w:val="00BD2E80"/>
    <w:rsid w:val="00BD3D9A"/>
    <w:rsid w:val="00BD4A43"/>
    <w:rsid w:val="00BD5BAB"/>
    <w:rsid w:val="00BD7274"/>
    <w:rsid w:val="00BD743F"/>
    <w:rsid w:val="00BE11B8"/>
    <w:rsid w:val="00BE2642"/>
    <w:rsid w:val="00BE28C4"/>
    <w:rsid w:val="00BE4945"/>
    <w:rsid w:val="00BE50EB"/>
    <w:rsid w:val="00BE6791"/>
    <w:rsid w:val="00BE76B8"/>
    <w:rsid w:val="00BF055D"/>
    <w:rsid w:val="00BF1DEF"/>
    <w:rsid w:val="00BF21BC"/>
    <w:rsid w:val="00BF2E55"/>
    <w:rsid w:val="00BF4438"/>
    <w:rsid w:val="00BF4B5C"/>
    <w:rsid w:val="00BF4C7E"/>
    <w:rsid w:val="00BF4D24"/>
    <w:rsid w:val="00BF5218"/>
    <w:rsid w:val="00BF6B58"/>
    <w:rsid w:val="00BF7FF0"/>
    <w:rsid w:val="00C006B6"/>
    <w:rsid w:val="00C01473"/>
    <w:rsid w:val="00C01C9D"/>
    <w:rsid w:val="00C04C4B"/>
    <w:rsid w:val="00C057F4"/>
    <w:rsid w:val="00C06A87"/>
    <w:rsid w:val="00C06E3F"/>
    <w:rsid w:val="00C1007D"/>
    <w:rsid w:val="00C114F5"/>
    <w:rsid w:val="00C12502"/>
    <w:rsid w:val="00C13C32"/>
    <w:rsid w:val="00C14E23"/>
    <w:rsid w:val="00C15358"/>
    <w:rsid w:val="00C158F0"/>
    <w:rsid w:val="00C15B34"/>
    <w:rsid w:val="00C1723B"/>
    <w:rsid w:val="00C178E6"/>
    <w:rsid w:val="00C17AD4"/>
    <w:rsid w:val="00C2021D"/>
    <w:rsid w:val="00C22024"/>
    <w:rsid w:val="00C23105"/>
    <w:rsid w:val="00C23649"/>
    <w:rsid w:val="00C25386"/>
    <w:rsid w:val="00C27BF0"/>
    <w:rsid w:val="00C31C8C"/>
    <w:rsid w:val="00C322AA"/>
    <w:rsid w:val="00C32AB1"/>
    <w:rsid w:val="00C32B56"/>
    <w:rsid w:val="00C33082"/>
    <w:rsid w:val="00C35CD9"/>
    <w:rsid w:val="00C36578"/>
    <w:rsid w:val="00C367DC"/>
    <w:rsid w:val="00C369E2"/>
    <w:rsid w:val="00C36AD1"/>
    <w:rsid w:val="00C37157"/>
    <w:rsid w:val="00C375C4"/>
    <w:rsid w:val="00C37B9D"/>
    <w:rsid w:val="00C40849"/>
    <w:rsid w:val="00C40AA5"/>
    <w:rsid w:val="00C41C6F"/>
    <w:rsid w:val="00C42759"/>
    <w:rsid w:val="00C435BF"/>
    <w:rsid w:val="00C4360C"/>
    <w:rsid w:val="00C43B43"/>
    <w:rsid w:val="00C45097"/>
    <w:rsid w:val="00C45B41"/>
    <w:rsid w:val="00C45E36"/>
    <w:rsid w:val="00C46F70"/>
    <w:rsid w:val="00C476D0"/>
    <w:rsid w:val="00C50D6B"/>
    <w:rsid w:val="00C50E68"/>
    <w:rsid w:val="00C50FA1"/>
    <w:rsid w:val="00C51417"/>
    <w:rsid w:val="00C52155"/>
    <w:rsid w:val="00C521F8"/>
    <w:rsid w:val="00C53AA7"/>
    <w:rsid w:val="00C53AE7"/>
    <w:rsid w:val="00C552B4"/>
    <w:rsid w:val="00C60A89"/>
    <w:rsid w:val="00C61AC1"/>
    <w:rsid w:val="00C62F30"/>
    <w:rsid w:val="00C6331D"/>
    <w:rsid w:val="00C65825"/>
    <w:rsid w:val="00C66095"/>
    <w:rsid w:val="00C70872"/>
    <w:rsid w:val="00C7181B"/>
    <w:rsid w:val="00C72554"/>
    <w:rsid w:val="00C74580"/>
    <w:rsid w:val="00C7486D"/>
    <w:rsid w:val="00C75B52"/>
    <w:rsid w:val="00C75BE7"/>
    <w:rsid w:val="00C77B56"/>
    <w:rsid w:val="00C8080A"/>
    <w:rsid w:val="00C80916"/>
    <w:rsid w:val="00C817BD"/>
    <w:rsid w:val="00C81925"/>
    <w:rsid w:val="00C81E9D"/>
    <w:rsid w:val="00C824C7"/>
    <w:rsid w:val="00C836E3"/>
    <w:rsid w:val="00C856D7"/>
    <w:rsid w:val="00C86577"/>
    <w:rsid w:val="00C928F9"/>
    <w:rsid w:val="00C92B32"/>
    <w:rsid w:val="00C92E07"/>
    <w:rsid w:val="00C96868"/>
    <w:rsid w:val="00CA0416"/>
    <w:rsid w:val="00CA21D0"/>
    <w:rsid w:val="00CA2324"/>
    <w:rsid w:val="00CA2BE1"/>
    <w:rsid w:val="00CA50E4"/>
    <w:rsid w:val="00CA5116"/>
    <w:rsid w:val="00CA641D"/>
    <w:rsid w:val="00CB152E"/>
    <w:rsid w:val="00CB365F"/>
    <w:rsid w:val="00CB3948"/>
    <w:rsid w:val="00CB3D01"/>
    <w:rsid w:val="00CB54C5"/>
    <w:rsid w:val="00CB6030"/>
    <w:rsid w:val="00CB75E1"/>
    <w:rsid w:val="00CB769F"/>
    <w:rsid w:val="00CB7D73"/>
    <w:rsid w:val="00CC035A"/>
    <w:rsid w:val="00CC16E0"/>
    <w:rsid w:val="00CC1A64"/>
    <w:rsid w:val="00CC2546"/>
    <w:rsid w:val="00CC4421"/>
    <w:rsid w:val="00CC4FC0"/>
    <w:rsid w:val="00CC560B"/>
    <w:rsid w:val="00CC6732"/>
    <w:rsid w:val="00CC75E2"/>
    <w:rsid w:val="00CD04F5"/>
    <w:rsid w:val="00CD0B22"/>
    <w:rsid w:val="00CD1B50"/>
    <w:rsid w:val="00CD2203"/>
    <w:rsid w:val="00CD3F21"/>
    <w:rsid w:val="00CD46EB"/>
    <w:rsid w:val="00CD6357"/>
    <w:rsid w:val="00CD7360"/>
    <w:rsid w:val="00CD7459"/>
    <w:rsid w:val="00CD7920"/>
    <w:rsid w:val="00CD7EBF"/>
    <w:rsid w:val="00CE0A58"/>
    <w:rsid w:val="00CE0F20"/>
    <w:rsid w:val="00CE1AA8"/>
    <w:rsid w:val="00CE22E8"/>
    <w:rsid w:val="00CE2DCF"/>
    <w:rsid w:val="00CE3BBE"/>
    <w:rsid w:val="00CE4691"/>
    <w:rsid w:val="00CE6DC8"/>
    <w:rsid w:val="00CE7B3B"/>
    <w:rsid w:val="00CF18A9"/>
    <w:rsid w:val="00CF35F1"/>
    <w:rsid w:val="00CF6604"/>
    <w:rsid w:val="00CF6E36"/>
    <w:rsid w:val="00CF7455"/>
    <w:rsid w:val="00CF7C84"/>
    <w:rsid w:val="00D001D1"/>
    <w:rsid w:val="00D017B5"/>
    <w:rsid w:val="00D05437"/>
    <w:rsid w:val="00D056F1"/>
    <w:rsid w:val="00D06512"/>
    <w:rsid w:val="00D06985"/>
    <w:rsid w:val="00D11171"/>
    <w:rsid w:val="00D11D56"/>
    <w:rsid w:val="00D12BCE"/>
    <w:rsid w:val="00D13FEE"/>
    <w:rsid w:val="00D14D70"/>
    <w:rsid w:val="00D14D86"/>
    <w:rsid w:val="00D16735"/>
    <w:rsid w:val="00D16EDF"/>
    <w:rsid w:val="00D17E71"/>
    <w:rsid w:val="00D22850"/>
    <w:rsid w:val="00D22907"/>
    <w:rsid w:val="00D22F3C"/>
    <w:rsid w:val="00D23037"/>
    <w:rsid w:val="00D23C26"/>
    <w:rsid w:val="00D23DB6"/>
    <w:rsid w:val="00D25255"/>
    <w:rsid w:val="00D26E0D"/>
    <w:rsid w:val="00D27369"/>
    <w:rsid w:val="00D301C9"/>
    <w:rsid w:val="00D309C5"/>
    <w:rsid w:val="00D32D40"/>
    <w:rsid w:val="00D32E61"/>
    <w:rsid w:val="00D333CE"/>
    <w:rsid w:val="00D349E4"/>
    <w:rsid w:val="00D361A6"/>
    <w:rsid w:val="00D36E08"/>
    <w:rsid w:val="00D41637"/>
    <w:rsid w:val="00D42CA4"/>
    <w:rsid w:val="00D43053"/>
    <w:rsid w:val="00D4334F"/>
    <w:rsid w:val="00D438A4"/>
    <w:rsid w:val="00D43F27"/>
    <w:rsid w:val="00D43FE6"/>
    <w:rsid w:val="00D441C7"/>
    <w:rsid w:val="00D51A95"/>
    <w:rsid w:val="00D52A74"/>
    <w:rsid w:val="00D52D57"/>
    <w:rsid w:val="00D537D9"/>
    <w:rsid w:val="00D5500B"/>
    <w:rsid w:val="00D555ED"/>
    <w:rsid w:val="00D56A1A"/>
    <w:rsid w:val="00D57485"/>
    <w:rsid w:val="00D57872"/>
    <w:rsid w:val="00D57B66"/>
    <w:rsid w:val="00D60345"/>
    <w:rsid w:val="00D60568"/>
    <w:rsid w:val="00D60BAB"/>
    <w:rsid w:val="00D60F7A"/>
    <w:rsid w:val="00D619CC"/>
    <w:rsid w:val="00D61F97"/>
    <w:rsid w:val="00D63585"/>
    <w:rsid w:val="00D66049"/>
    <w:rsid w:val="00D673CF"/>
    <w:rsid w:val="00D67F6F"/>
    <w:rsid w:val="00D70849"/>
    <w:rsid w:val="00D70AD4"/>
    <w:rsid w:val="00D70C7A"/>
    <w:rsid w:val="00D71E2D"/>
    <w:rsid w:val="00D74A55"/>
    <w:rsid w:val="00D761F2"/>
    <w:rsid w:val="00D76B06"/>
    <w:rsid w:val="00D77470"/>
    <w:rsid w:val="00D81D38"/>
    <w:rsid w:val="00D83355"/>
    <w:rsid w:val="00D83E33"/>
    <w:rsid w:val="00D86003"/>
    <w:rsid w:val="00D87C41"/>
    <w:rsid w:val="00D9055E"/>
    <w:rsid w:val="00D90F7C"/>
    <w:rsid w:val="00D91E96"/>
    <w:rsid w:val="00D93297"/>
    <w:rsid w:val="00D93658"/>
    <w:rsid w:val="00D945DA"/>
    <w:rsid w:val="00D94BC9"/>
    <w:rsid w:val="00D9568E"/>
    <w:rsid w:val="00D95CC4"/>
    <w:rsid w:val="00D95D87"/>
    <w:rsid w:val="00D9620E"/>
    <w:rsid w:val="00D97644"/>
    <w:rsid w:val="00D97B50"/>
    <w:rsid w:val="00DA015B"/>
    <w:rsid w:val="00DA10A8"/>
    <w:rsid w:val="00DA1B34"/>
    <w:rsid w:val="00DA2085"/>
    <w:rsid w:val="00DA3138"/>
    <w:rsid w:val="00DA4784"/>
    <w:rsid w:val="00DA58FF"/>
    <w:rsid w:val="00DA77A4"/>
    <w:rsid w:val="00DB002A"/>
    <w:rsid w:val="00DB0CFF"/>
    <w:rsid w:val="00DB12E4"/>
    <w:rsid w:val="00DB1673"/>
    <w:rsid w:val="00DB1E08"/>
    <w:rsid w:val="00DB2973"/>
    <w:rsid w:val="00DB2E8F"/>
    <w:rsid w:val="00DB38BD"/>
    <w:rsid w:val="00DB55C2"/>
    <w:rsid w:val="00DB675A"/>
    <w:rsid w:val="00DB731C"/>
    <w:rsid w:val="00DC1525"/>
    <w:rsid w:val="00DC1719"/>
    <w:rsid w:val="00DC18D5"/>
    <w:rsid w:val="00DC1B56"/>
    <w:rsid w:val="00DC1EFD"/>
    <w:rsid w:val="00DC201F"/>
    <w:rsid w:val="00DC2129"/>
    <w:rsid w:val="00DC3BBA"/>
    <w:rsid w:val="00DC5794"/>
    <w:rsid w:val="00DC631D"/>
    <w:rsid w:val="00DC6570"/>
    <w:rsid w:val="00DC65BA"/>
    <w:rsid w:val="00DC6880"/>
    <w:rsid w:val="00DD00B9"/>
    <w:rsid w:val="00DD0486"/>
    <w:rsid w:val="00DD3709"/>
    <w:rsid w:val="00DD3B1F"/>
    <w:rsid w:val="00DD3C5E"/>
    <w:rsid w:val="00DD60A0"/>
    <w:rsid w:val="00DD66C4"/>
    <w:rsid w:val="00DD7003"/>
    <w:rsid w:val="00DE02EF"/>
    <w:rsid w:val="00DE718E"/>
    <w:rsid w:val="00DF020C"/>
    <w:rsid w:val="00DF0FE9"/>
    <w:rsid w:val="00DF1DDD"/>
    <w:rsid w:val="00DF25C3"/>
    <w:rsid w:val="00DF5098"/>
    <w:rsid w:val="00DF550E"/>
    <w:rsid w:val="00DF5D5E"/>
    <w:rsid w:val="00DF6FEA"/>
    <w:rsid w:val="00DF77B9"/>
    <w:rsid w:val="00E00259"/>
    <w:rsid w:val="00E00CAC"/>
    <w:rsid w:val="00E00DAD"/>
    <w:rsid w:val="00E01790"/>
    <w:rsid w:val="00E038DB"/>
    <w:rsid w:val="00E04062"/>
    <w:rsid w:val="00E063C6"/>
    <w:rsid w:val="00E066BA"/>
    <w:rsid w:val="00E06D36"/>
    <w:rsid w:val="00E102B0"/>
    <w:rsid w:val="00E110DB"/>
    <w:rsid w:val="00E148EE"/>
    <w:rsid w:val="00E157FA"/>
    <w:rsid w:val="00E15994"/>
    <w:rsid w:val="00E16044"/>
    <w:rsid w:val="00E16437"/>
    <w:rsid w:val="00E1655B"/>
    <w:rsid w:val="00E16EFD"/>
    <w:rsid w:val="00E2003B"/>
    <w:rsid w:val="00E203C2"/>
    <w:rsid w:val="00E20CB1"/>
    <w:rsid w:val="00E2130F"/>
    <w:rsid w:val="00E2141D"/>
    <w:rsid w:val="00E21C29"/>
    <w:rsid w:val="00E21DF6"/>
    <w:rsid w:val="00E230DE"/>
    <w:rsid w:val="00E2313D"/>
    <w:rsid w:val="00E25772"/>
    <w:rsid w:val="00E26ADA"/>
    <w:rsid w:val="00E27012"/>
    <w:rsid w:val="00E272FB"/>
    <w:rsid w:val="00E27389"/>
    <w:rsid w:val="00E279D8"/>
    <w:rsid w:val="00E30695"/>
    <w:rsid w:val="00E31812"/>
    <w:rsid w:val="00E31981"/>
    <w:rsid w:val="00E319B1"/>
    <w:rsid w:val="00E324A7"/>
    <w:rsid w:val="00E33950"/>
    <w:rsid w:val="00E33A9C"/>
    <w:rsid w:val="00E34701"/>
    <w:rsid w:val="00E34DF7"/>
    <w:rsid w:val="00E359D6"/>
    <w:rsid w:val="00E36C9C"/>
    <w:rsid w:val="00E37540"/>
    <w:rsid w:val="00E40B16"/>
    <w:rsid w:val="00E43E44"/>
    <w:rsid w:val="00E441CE"/>
    <w:rsid w:val="00E44E0D"/>
    <w:rsid w:val="00E459D4"/>
    <w:rsid w:val="00E460C4"/>
    <w:rsid w:val="00E473DA"/>
    <w:rsid w:val="00E509AD"/>
    <w:rsid w:val="00E51BB5"/>
    <w:rsid w:val="00E51DE6"/>
    <w:rsid w:val="00E51F06"/>
    <w:rsid w:val="00E52579"/>
    <w:rsid w:val="00E53C94"/>
    <w:rsid w:val="00E5492F"/>
    <w:rsid w:val="00E55029"/>
    <w:rsid w:val="00E55635"/>
    <w:rsid w:val="00E56982"/>
    <w:rsid w:val="00E57075"/>
    <w:rsid w:val="00E57C92"/>
    <w:rsid w:val="00E617CA"/>
    <w:rsid w:val="00E617F8"/>
    <w:rsid w:val="00E61873"/>
    <w:rsid w:val="00E6283F"/>
    <w:rsid w:val="00E62DEF"/>
    <w:rsid w:val="00E62E9A"/>
    <w:rsid w:val="00E6508B"/>
    <w:rsid w:val="00E66CED"/>
    <w:rsid w:val="00E70A86"/>
    <w:rsid w:val="00E717C8"/>
    <w:rsid w:val="00E72292"/>
    <w:rsid w:val="00E74141"/>
    <w:rsid w:val="00E7529E"/>
    <w:rsid w:val="00E7539A"/>
    <w:rsid w:val="00E7568D"/>
    <w:rsid w:val="00E7572C"/>
    <w:rsid w:val="00E75907"/>
    <w:rsid w:val="00E75DD2"/>
    <w:rsid w:val="00E7762E"/>
    <w:rsid w:val="00E777EC"/>
    <w:rsid w:val="00E802B5"/>
    <w:rsid w:val="00E809E2"/>
    <w:rsid w:val="00E80AC7"/>
    <w:rsid w:val="00E80FCD"/>
    <w:rsid w:val="00E838F2"/>
    <w:rsid w:val="00E86B10"/>
    <w:rsid w:val="00E86C34"/>
    <w:rsid w:val="00E86EB2"/>
    <w:rsid w:val="00E877CC"/>
    <w:rsid w:val="00E87F1E"/>
    <w:rsid w:val="00E90A0F"/>
    <w:rsid w:val="00E912B3"/>
    <w:rsid w:val="00E9375F"/>
    <w:rsid w:val="00E93B2F"/>
    <w:rsid w:val="00E9437D"/>
    <w:rsid w:val="00E94B02"/>
    <w:rsid w:val="00E95B46"/>
    <w:rsid w:val="00E95F7B"/>
    <w:rsid w:val="00E973C9"/>
    <w:rsid w:val="00E97A38"/>
    <w:rsid w:val="00EA108A"/>
    <w:rsid w:val="00EA3232"/>
    <w:rsid w:val="00EA4965"/>
    <w:rsid w:val="00EA5201"/>
    <w:rsid w:val="00EA5CAF"/>
    <w:rsid w:val="00EA70BC"/>
    <w:rsid w:val="00EA7201"/>
    <w:rsid w:val="00EA7F2F"/>
    <w:rsid w:val="00EB05A0"/>
    <w:rsid w:val="00EB2667"/>
    <w:rsid w:val="00EB7280"/>
    <w:rsid w:val="00EB7D57"/>
    <w:rsid w:val="00EC00DE"/>
    <w:rsid w:val="00EC0876"/>
    <w:rsid w:val="00EC0C35"/>
    <w:rsid w:val="00EC17E9"/>
    <w:rsid w:val="00EC2E7E"/>
    <w:rsid w:val="00EC30E1"/>
    <w:rsid w:val="00EC3370"/>
    <w:rsid w:val="00EC37B0"/>
    <w:rsid w:val="00EC43A7"/>
    <w:rsid w:val="00EC4DE7"/>
    <w:rsid w:val="00EC58C4"/>
    <w:rsid w:val="00EC5D6A"/>
    <w:rsid w:val="00EC5E7A"/>
    <w:rsid w:val="00EC6919"/>
    <w:rsid w:val="00EC741D"/>
    <w:rsid w:val="00EC7A25"/>
    <w:rsid w:val="00ED0F8C"/>
    <w:rsid w:val="00ED172A"/>
    <w:rsid w:val="00ED558B"/>
    <w:rsid w:val="00EE0017"/>
    <w:rsid w:val="00EE1C0A"/>
    <w:rsid w:val="00EE1DBE"/>
    <w:rsid w:val="00EE2D6F"/>
    <w:rsid w:val="00EE4014"/>
    <w:rsid w:val="00EE5094"/>
    <w:rsid w:val="00EE5111"/>
    <w:rsid w:val="00EE6184"/>
    <w:rsid w:val="00EE675D"/>
    <w:rsid w:val="00EF0330"/>
    <w:rsid w:val="00EF0FAA"/>
    <w:rsid w:val="00EF14A9"/>
    <w:rsid w:val="00EF1A39"/>
    <w:rsid w:val="00EF2C0D"/>
    <w:rsid w:val="00EF40F9"/>
    <w:rsid w:val="00EF429E"/>
    <w:rsid w:val="00EF489C"/>
    <w:rsid w:val="00EF64C3"/>
    <w:rsid w:val="00EF71CF"/>
    <w:rsid w:val="00F0074A"/>
    <w:rsid w:val="00F02491"/>
    <w:rsid w:val="00F024D5"/>
    <w:rsid w:val="00F03718"/>
    <w:rsid w:val="00F04629"/>
    <w:rsid w:val="00F05032"/>
    <w:rsid w:val="00F07238"/>
    <w:rsid w:val="00F07B79"/>
    <w:rsid w:val="00F10018"/>
    <w:rsid w:val="00F11F6C"/>
    <w:rsid w:val="00F126F5"/>
    <w:rsid w:val="00F14BEC"/>
    <w:rsid w:val="00F151BC"/>
    <w:rsid w:val="00F15EDD"/>
    <w:rsid w:val="00F15F84"/>
    <w:rsid w:val="00F16005"/>
    <w:rsid w:val="00F16191"/>
    <w:rsid w:val="00F225C5"/>
    <w:rsid w:val="00F22E27"/>
    <w:rsid w:val="00F2396B"/>
    <w:rsid w:val="00F24B36"/>
    <w:rsid w:val="00F2587A"/>
    <w:rsid w:val="00F306FE"/>
    <w:rsid w:val="00F31AB1"/>
    <w:rsid w:val="00F332BE"/>
    <w:rsid w:val="00F3715D"/>
    <w:rsid w:val="00F37A52"/>
    <w:rsid w:val="00F37A6F"/>
    <w:rsid w:val="00F40136"/>
    <w:rsid w:val="00F40618"/>
    <w:rsid w:val="00F41C58"/>
    <w:rsid w:val="00F420B3"/>
    <w:rsid w:val="00F420C8"/>
    <w:rsid w:val="00F42A4C"/>
    <w:rsid w:val="00F43F30"/>
    <w:rsid w:val="00F46CBE"/>
    <w:rsid w:val="00F46F6B"/>
    <w:rsid w:val="00F47084"/>
    <w:rsid w:val="00F470DE"/>
    <w:rsid w:val="00F47F09"/>
    <w:rsid w:val="00F50262"/>
    <w:rsid w:val="00F50E33"/>
    <w:rsid w:val="00F50F52"/>
    <w:rsid w:val="00F542DB"/>
    <w:rsid w:val="00F54CA9"/>
    <w:rsid w:val="00F552FD"/>
    <w:rsid w:val="00F560F0"/>
    <w:rsid w:val="00F57A1A"/>
    <w:rsid w:val="00F57D92"/>
    <w:rsid w:val="00F604DE"/>
    <w:rsid w:val="00F63AEB"/>
    <w:rsid w:val="00F65535"/>
    <w:rsid w:val="00F6556D"/>
    <w:rsid w:val="00F6671B"/>
    <w:rsid w:val="00F67E80"/>
    <w:rsid w:val="00F700EA"/>
    <w:rsid w:val="00F706AC"/>
    <w:rsid w:val="00F711C5"/>
    <w:rsid w:val="00F71727"/>
    <w:rsid w:val="00F7196F"/>
    <w:rsid w:val="00F71E55"/>
    <w:rsid w:val="00F72018"/>
    <w:rsid w:val="00F73311"/>
    <w:rsid w:val="00F735EC"/>
    <w:rsid w:val="00F74B96"/>
    <w:rsid w:val="00F74C46"/>
    <w:rsid w:val="00F752D1"/>
    <w:rsid w:val="00F76B26"/>
    <w:rsid w:val="00F80F44"/>
    <w:rsid w:val="00F81E06"/>
    <w:rsid w:val="00F82B4F"/>
    <w:rsid w:val="00F83179"/>
    <w:rsid w:val="00F837A5"/>
    <w:rsid w:val="00F8512E"/>
    <w:rsid w:val="00F86F75"/>
    <w:rsid w:val="00F906AA"/>
    <w:rsid w:val="00F92A09"/>
    <w:rsid w:val="00F92A46"/>
    <w:rsid w:val="00F943AF"/>
    <w:rsid w:val="00FA01B2"/>
    <w:rsid w:val="00FA0BDB"/>
    <w:rsid w:val="00FA323B"/>
    <w:rsid w:val="00FA4147"/>
    <w:rsid w:val="00FA4970"/>
    <w:rsid w:val="00FA6E42"/>
    <w:rsid w:val="00FA74AD"/>
    <w:rsid w:val="00FA7A29"/>
    <w:rsid w:val="00FB3023"/>
    <w:rsid w:val="00FB4857"/>
    <w:rsid w:val="00FB4F2F"/>
    <w:rsid w:val="00FB7512"/>
    <w:rsid w:val="00FB77C9"/>
    <w:rsid w:val="00FC1126"/>
    <w:rsid w:val="00FC2237"/>
    <w:rsid w:val="00FC30DF"/>
    <w:rsid w:val="00FC4453"/>
    <w:rsid w:val="00FC54F9"/>
    <w:rsid w:val="00FC552F"/>
    <w:rsid w:val="00FC6A34"/>
    <w:rsid w:val="00FC79DC"/>
    <w:rsid w:val="00FC7B01"/>
    <w:rsid w:val="00FD0973"/>
    <w:rsid w:val="00FD0D93"/>
    <w:rsid w:val="00FD209C"/>
    <w:rsid w:val="00FD2274"/>
    <w:rsid w:val="00FD27DF"/>
    <w:rsid w:val="00FD28A6"/>
    <w:rsid w:val="00FD31F7"/>
    <w:rsid w:val="00FD3A86"/>
    <w:rsid w:val="00FD6C0D"/>
    <w:rsid w:val="00FD7547"/>
    <w:rsid w:val="00FD7FBA"/>
    <w:rsid w:val="00FE085C"/>
    <w:rsid w:val="00FE0AB4"/>
    <w:rsid w:val="00FE1F47"/>
    <w:rsid w:val="00FE2AF5"/>
    <w:rsid w:val="00FE3363"/>
    <w:rsid w:val="00FE39AC"/>
    <w:rsid w:val="00FE6324"/>
    <w:rsid w:val="00FE75A9"/>
    <w:rsid w:val="00FF3363"/>
    <w:rsid w:val="00FF5760"/>
    <w:rsid w:val="00FF5F5C"/>
    <w:rsid w:val="00FF69D0"/>
    <w:rsid w:val="00FF7B00"/>
    <w:rsid w:val="1D834C30"/>
    <w:rsid w:val="3D49BABE"/>
    <w:rsid w:val="4485E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E9F72"/>
  <w15:docId w15:val="{14668528-BDE8-4778-B4EC-4FDC0F56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3"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B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FS Heading 2"/>
    <w:basedOn w:val="Normal"/>
    <w:next w:val="Normal"/>
    <w:link w:val="Heading2Char"/>
    <w:autoRedefine/>
    <w:uiPriority w:val="9"/>
    <w:unhideWhenUsed/>
    <w:qFormat/>
    <w:rsid w:val="008241AA"/>
    <w:pPr>
      <w:keepNext/>
      <w:spacing w:before="240" w:after="240"/>
      <w:outlineLvl w:val="1"/>
    </w:pPr>
    <w:rPr>
      <w:rFonts w:cs="Arial"/>
      <w:b/>
      <w:bCs/>
      <w:sz w:val="24"/>
      <w:lang w:bidi="ar-SA"/>
    </w:rPr>
  </w:style>
  <w:style w:type="paragraph" w:styleId="Heading3">
    <w:name w:val="heading 3"/>
    <w:aliases w:val="FSHeading 3,Subheading 1"/>
    <w:basedOn w:val="Normal"/>
    <w:next w:val="Normal"/>
    <w:link w:val="Heading3Char"/>
    <w:autoRedefine/>
    <w:uiPriority w:val="2"/>
    <w:unhideWhenUsed/>
    <w:qFormat/>
    <w:rsid w:val="00C114F5"/>
    <w:pPr>
      <w:keepNext/>
      <w:keepLines/>
      <w:widowControl/>
      <w:tabs>
        <w:tab w:val="left" w:pos="851"/>
      </w:tabs>
      <w:spacing w:before="120" w:after="12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qFormat/>
    <w:rsid w:val="00B731D3"/>
    <w:pPr>
      <w:spacing w:before="240" w:after="60"/>
      <w:outlineLvl w:val="7"/>
    </w:pPr>
    <w:rPr>
      <w:i/>
      <w:iCs/>
    </w:rPr>
  </w:style>
  <w:style w:type="paragraph" w:styleId="Heading9">
    <w:name w:val="heading 9"/>
    <w:basedOn w:val="Normal"/>
    <w:next w:val="Normal"/>
    <w:link w:val="Heading9Char"/>
    <w:uiPriority w:val="9"/>
    <w:unhideWhenUsed/>
    <w:qFormat/>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8241AA"/>
    <w:rPr>
      <w:rFonts w:ascii="Arial" w:hAnsi="Arial" w:cs="Arial"/>
      <w:b/>
      <w:bCs/>
      <w:sz w:val="24"/>
      <w:szCs w:val="24"/>
      <w:lang w:eastAsia="en-US"/>
    </w:rPr>
  </w:style>
  <w:style w:type="character" w:customStyle="1" w:styleId="Heading3Char">
    <w:name w:val="Heading 3 Char"/>
    <w:aliases w:val="FSHeading 3 Char,Subheading 1 Char"/>
    <w:link w:val="Heading3"/>
    <w:uiPriority w:val="2"/>
    <w:rsid w:val="00C114F5"/>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uiPriority w:val="99"/>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uiPriority w:val="39"/>
    <w:semiHidden/>
    <w:pPr>
      <w:ind w:left="660"/>
    </w:pPr>
    <w:rPr>
      <w:rFonts w:asciiTheme="minorHAnsi" w:hAnsiTheme="minorHAnsi"/>
      <w:sz w:val="18"/>
      <w:szCs w:val="18"/>
    </w:rPr>
  </w:style>
  <w:style w:type="paragraph" w:styleId="TOC5">
    <w:name w:val="toc 5"/>
    <w:basedOn w:val="Normal"/>
    <w:next w:val="Normal"/>
    <w:autoRedefine/>
    <w:uiPriority w:val="39"/>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uiPriority w:val="39"/>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semiHidden/>
    <w:pPr>
      <w:ind w:left="1320"/>
    </w:pPr>
    <w:rPr>
      <w:rFonts w:asciiTheme="minorHAnsi" w:hAnsiTheme="minorHAnsi"/>
      <w:sz w:val="18"/>
      <w:szCs w:val="18"/>
    </w:rPr>
  </w:style>
  <w:style w:type="paragraph" w:styleId="TOC8">
    <w:name w:val="toc 8"/>
    <w:basedOn w:val="Normal"/>
    <w:next w:val="Normal"/>
    <w:autoRedefine/>
    <w:uiPriority w:val="39"/>
    <w:semiHidden/>
    <w:pPr>
      <w:ind w:left="1540"/>
    </w:pPr>
    <w:rPr>
      <w:rFonts w:asciiTheme="minorHAnsi" w:hAnsiTheme="minorHAnsi"/>
      <w:sz w:val="18"/>
      <w:szCs w:val="18"/>
    </w:rPr>
  </w:style>
  <w:style w:type="paragraph" w:styleId="TOC9">
    <w:name w:val="toc 9"/>
    <w:basedOn w:val="Normal"/>
    <w:next w:val="Normal"/>
    <w:autoRedefine/>
    <w:uiPriority w:val="39"/>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pPr>
    <w:rPr>
      <w:rFonts w:eastAsia="Calibri"/>
      <w:szCs w:val="22"/>
      <w:lang w:bidi="ar-SA"/>
    </w:rPr>
  </w:style>
  <w:style w:type="paragraph" w:customStyle="1" w:styleId="FSBullet3">
    <w:name w:val="FSBullet 3"/>
    <w:basedOn w:val="Normal"/>
    <w:uiPriority w:val="6"/>
    <w:qFormat/>
    <w:rsid w:val="0029631C"/>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AB1080"/>
    <w:pPr>
      <w:ind w:left="720"/>
      <w:contextualSpacing/>
    </w:pPr>
  </w:style>
  <w:style w:type="paragraph" w:customStyle="1" w:styleId="FooterFPHFF-22122021-45801PM">
    <w:name w:val="FooterFPHFF-22122021-45801 PM"/>
    <w:rsid w:val="00B45065"/>
    <w:pPr>
      <w:widowControl w:val="0"/>
    </w:pPr>
    <w:rPr>
      <w:rFonts w:ascii="Arial" w:hAnsi="Arial"/>
      <w:sz w:val="22"/>
      <w:szCs w:val="24"/>
      <w:lang w:eastAsia="en-US" w:bidi="en-US"/>
    </w:rPr>
  </w:style>
  <w:style w:type="paragraph" w:styleId="Signature">
    <w:name w:val="Signature"/>
    <w:basedOn w:val="Normal"/>
    <w:link w:val="SignatureChar"/>
    <w:uiPriority w:val="99"/>
    <w:rsid w:val="00667EC0"/>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uiPriority w:val="99"/>
    <w:rsid w:val="00667EC0"/>
    <w:rPr>
      <w:rFonts w:ascii="Arial" w:hAnsi="Arial"/>
      <w:sz w:val="22"/>
      <w:lang w:val="en-US" w:eastAsia="en-US"/>
    </w:rPr>
  </w:style>
  <w:style w:type="table" w:styleId="GridTable2-Accent3">
    <w:name w:val="Grid Table 2 Accent 3"/>
    <w:basedOn w:val="TableNormal"/>
    <w:uiPriority w:val="47"/>
    <w:rsid w:val="000F6DC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0F6D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0F6D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dnoteText">
    <w:name w:val="endnote text"/>
    <w:basedOn w:val="Normal"/>
    <w:link w:val="EndnoteTextChar"/>
    <w:uiPriority w:val="99"/>
    <w:unhideWhenUsed/>
    <w:rsid w:val="00411D44"/>
    <w:rPr>
      <w:sz w:val="20"/>
      <w:szCs w:val="20"/>
    </w:rPr>
  </w:style>
  <w:style w:type="character" w:customStyle="1" w:styleId="EndnoteTextChar">
    <w:name w:val="Endnote Text Char"/>
    <w:basedOn w:val="DefaultParagraphFont"/>
    <w:link w:val="EndnoteText"/>
    <w:uiPriority w:val="99"/>
    <w:rsid w:val="00411D44"/>
    <w:rPr>
      <w:rFonts w:ascii="Arial" w:hAnsi="Arial"/>
      <w:lang w:eastAsia="en-US" w:bidi="en-US"/>
    </w:rPr>
  </w:style>
  <w:style w:type="character" w:styleId="EndnoteReference">
    <w:name w:val="endnote reference"/>
    <w:basedOn w:val="DefaultParagraphFont"/>
    <w:uiPriority w:val="99"/>
    <w:unhideWhenUsed/>
    <w:rsid w:val="00411D44"/>
    <w:rPr>
      <w:vertAlign w:val="superscript"/>
    </w:rPr>
  </w:style>
  <w:style w:type="paragraph" w:customStyle="1" w:styleId="FooterFPHFF-18012022-44807PM">
    <w:name w:val="FooterFPHFF-18012022-44807 PM"/>
    <w:rsid w:val="00EF1A39"/>
    <w:pPr>
      <w:widowControl w:val="0"/>
    </w:pPr>
    <w:rPr>
      <w:rFonts w:ascii="Arial" w:hAnsi="Arial"/>
      <w:sz w:val="22"/>
      <w:szCs w:val="24"/>
      <w:lang w:eastAsia="en-US" w:bidi="en-US"/>
    </w:rPr>
  </w:style>
  <w:style w:type="table" w:styleId="GridTable4-Accent5">
    <w:name w:val="Grid Table 4 Accent 5"/>
    <w:basedOn w:val="TableNormal"/>
    <w:uiPriority w:val="49"/>
    <w:rsid w:val="00D430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ooterFPHFF-21012022-94826AM">
    <w:name w:val="FooterFPHFF-21012022-94826 AM"/>
    <w:rsid w:val="00F37A6F"/>
    <w:pPr>
      <w:widowControl w:val="0"/>
    </w:pPr>
    <w:rPr>
      <w:rFonts w:ascii="Arial" w:hAnsi="Arial"/>
      <w:sz w:val="22"/>
      <w:szCs w:val="24"/>
      <w:lang w:eastAsia="en-US" w:bidi="en-US"/>
    </w:rPr>
  </w:style>
  <w:style w:type="paragraph" w:styleId="CommentSubject">
    <w:name w:val="annotation subject"/>
    <w:basedOn w:val="CommentText"/>
    <w:next w:val="CommentText"/>
    <w:link w:val="CommentSubjectChar"/>
    <w:unhideWhenUsed/>
    <w:rsid w:val="006D0A98"/>
    <w:rPr>
      <w:b/>
      <w:bCs/>
    </w:rPr>
  </w:style>
  <w:style w:type="character" w:customStyle="1" w:styleId="CommentSubjectChar">
    <w:name w:val="Comment Subject Char"/>
    <w:basedOn w:val="CommentTextChar"/>
    <w:link w:val="CommentSubject"/>
    <w:rsid w:val="006D0A98"/>
    <w:rPr>
      <w:rFonts w:ascii="Arial" w:hAnsi="Arial"/>
      <w:b/>
      <w:bCs/>
      <w:lang w:eastAsia="en-US" w:bidi="en-US"/>
    </w:rPr>
  </w:style>
  <w:style w:type="character" w:customStyle="1" w:styleId="citation-doi">
    <w:name w:val="citation-doi"/>
    <w:basedOn w:val="DefaultParagraphFont"/>
    <w:rsid w:val="00AD4FBC"/>
  </w:style>
  <w:style w:type="character" w:customStyle="1" w:styleId="secondary-date">
    <w:name w:val="secondary-date"/>
    <w:basedOn w:val="DefaultParagraphFont"/>
    <w:rsid w:val="00AD4FBC"/>
  </w:style>
  <w:style w:type="character" w:customStyle="1" w:styleId="identifier">
    <w:name w:val="identifier"/>
    <w:basedOn w:val="DefaultParagraphFont"/>
    <w:rsid w:val="0075205E"/>
  </w:style>
  <w:style w:type="character" w:customStyle="1" w:styleId="id-label">
    <w:name w:val="id-label"/>
    <w:basedOn w:val="DefaultParagraphFont"/>
    <w:rsid w:val="0075205E"/>
  </w:style>
  <w:style w:type="paragraph" w:customStyle="1" w:styleId="FooterPPHFF-24012022-32500PM">
    <w:name w:val="FooterPPHFF-24012022-32500 PM"/>
    <w:rsid w:val="00AE15FA"/>
    <w:pPr>
      <w:widowControl w:val="0"/>
      <w:ind w:left="720"/>
      <w:contextualSpacing/>
    </w:pPr>
    <w:rPr>
      <w:rFonts w:ascii="Arial" w:hAnsi="Arial"/>
      <w:sz w:val="22"/>
      <w:szCs w:val="24"/>
      <w:lang w:eastAsia="en-US" w:bidi="en-US"/>
    </w:rPr>
  </w:style>
  <w:style w:type="paragraph" w:customStyle="1" w:styleId="HeaderFPHFF-27012022-13316PM">
    <w:name w:val="HeaderFPHFF-27012022-13316 PM"/>
    <w:rsid w:val="004462F7"/>
    <w:rPr>
      <w:rFonts w:eastAsiaTheme="minorHAnsi" w:cs="Calibri"/>
      <w:sz w:val="22"/>
      <w:szCs w:val="22"/>
      <w:lang w:eastAsia="en-US"/>
    </w:rPr>
  </w:style>
  <w:style w:type="paragraph" w:customStyle="1" w:styleId="HeaderFPHFF-31012022-23002PM">
    <w:name w:val="HeaderFPHFF-31012022-23002 PM"/>
    <w:rsid w:val="00A77B35"/>
    <w:pPr>
      <w:widowControl w:val="0"/>
    </w:pPr>
    <w:rPr>
      <w:rFonts w:ascii="Arial" w:hAnsi="Arial"/>
      <w:sz w:val="22"/>
      <w:szCs w:val="24"/>
      <w:lang w:eastAsia="en-US" w:bidi="en-US"/>
    </w:rPr>
  </w:style>
  <w:style w:type="character" w:styleId="Emphasis">
    <w:name w:val="Emphasis"/>
    <w:basedOn w:val="DefaultParagraphFont"/>
    <w:uiPriority w:val="20"/>
    <w:qFormat/>
    <w:rsid w:val="000D7A70"/>
    <w:rPr>
      <w:i/>
      <w:iCs/>
    </w:rPr>
  </w:style>
  <w:style w:type="character" w:customStyle="1" w:styleId="title-text">
    <w:name w:val="title-text"/>
    <w:basedOn w:val="DefaultParagraphFont"/>
    <w:rsid w:val="00C74580"/>
  </w:style>
  <w:style w:type="character" w:customStyle="1" w:styleId="text">
    <w:name w:val="text"/>
    <w:basedOn w:val="DefaultParagraphFont"/>
    <w:rsid w:val="009425CE"/>
  </w:style>
  <w:style w:type="character" w:customStyle="1" w:styleId="italic">
    <w:name w:val="italic"/>
    <w:basedOn w:val="DefaultParagraphFont"/>
    <w:rsid w:val="00C70872"/>
  </w:style>
  <w:style w:type="paragraph" w:customStyle="1" w:styleId="HeaderPPHFF-10022022-110948AM">
    <w:name w:val="HeaderPPHFF-10022022-110948 AM"/>
    <w:rsid w:val="00631779"/>
    <w:pPr>
      <w:widowControl w:val="0"/>
    </w:pPr>
    <w:rPr>
      <w:rFonts w:ascii="Arial" w:hAnsi="Arial"/>
      <w:lang w:eastAsia="en-US" w:bidi="en-US"/>
    </w:rPr>
  </w:style>
  <w:style w:type="paragraph" w:customStyle="1" w:styleId="FooterEPHFF-10022022-110950AM">
    <w:name w:val="FooterEPHFF-10022022-110950 AM"/>
    <w:rsid w:val="00631779"/>
    <w:pPr>
      <w:widowControl w:val="0"/>
    </w:pPr>
    <w:rPr>
      <w:rFonts w:ascii="Arial" w:hAnsi="Arial"/>
      <w:lang w:eastAsia="en-US" w:bidi="en-US"/>
    </w:rPr>
  </w:style>
  <w:style w:type="paragraph" w:customStyle="1" w:styleId="HeaderPPHFF-14022022-105702AM">
    <w:name w:val="HeaderPPHFF-14022022-105702 AM"/>
    <w:rsid w:val="00531F78"/>
    <w:pPr>
      <w:widowControl w:val="0"/>
    </w:pPr>
    <w:rPr>
      <w:rFonts w:ascii="Arial" w:hAnsi="Arial"/>
      <w:sz w:val="22"/>
      <w:szCs w:val="24"/>
      <w:lang w:eastAsia="en-US" w:bidi="en-US"/>
    </w:rPr>
  </w:style>
  <w:style w:type="paragraph" w:customStyle="1" w:styleId="FooterEPHFF-14022022-105702AM">
    <w:name w:val="FooterEPHFF-14022022-105702 AM"/>
    <w:rsid w:val="00531F78"/>
    <w:pPr>
      <w:widowControl w:val="0"/>
    </w:pPr>
    <w:rPr>
      <w:rFonts w:ascii="Arial" w:hAnsi="Arial"/>
      <w:sz w:val="22"/>
      <w:szCs w:val="24"/>
      <w:lang w:eastAsia="en-US" w:bidi="en-US"/>
    </w:rPr>
  </w:style>
  <w:style w:type="paragraph" w:styleId="Revision">
    <w:name w:val="Revision"/>
    <w:hidden/>
    <w:uiPriority w:val="99"/>
    <w:semiHidden/>
    <w:rsid w:val="004C175C"/>
    <w:rPr>
      <w:rFonts w:ascii="Arial" w:hAnsi="Arial"/>
      <w:sz w:val="22"/>
      <w:szCs w:val="24"/>
      <w:lang w:eastAsia="en-US" w:bidi="en-US"/>
    </w:rPr>
  </w:style>
  <w:style w:type="paragraph" w:customStyle="1" w:styleId="HeaderPPHFF-17022022-122729PM">
    <w:name w:val="HeaderPPHFF-17022022-122729 PM"/>
    <w:rsid w:val="00236BF3"/>
    <w:rPr>
      <w:rFonts w:ascii="Arial" w:eastAsiaTheme="minorHAnsi" w:hAnsi="Arial" w:cstheme="minorBidi"/>
      <w:lang w:eastAsia="en-US"/>
    </w:rPr>
  </w:style>
  <w:style w:type="paragraph" w:customStyle="1" w:styleId="FooterEPHFF-17022022-122731PM">
    <w:name w:val="FooterEPHFF-17022022-122731 PM"/>
    <w:rsid w:val="00236BF3"/>
    <w:rPr>
      <w:rFonts w:ascii="Arial" w:eastAsiaTheme="minorHAnsi" w:hAnsi="Arial" w:cstheme="minorBidi"/>
      <w:lang w:eastAsia="en-US"/>
    </w:rPr>
  </w:style>
  <w:style w:type="paragraph" w:customStyle="1" w:styleId="HeaderPPHFF-24022022-22013PM">
    <w:name w:val="HeaderPPHFF-24022022-22013 PM"/>
    <w:rsid w:val="00600646"/>
    <w:pPr>
      <w:widowControl w:val="0"/>
    </w:pPr>
    <w:rPr>
      <w:rFonts w:ascii="Arial" w:hAnsi="Arial"/>
      <w:sz w:val="22"/>
      <w:szCs w:val="24"/>
      <w:lang w:eastAsia="en-US" w:bidi="en-US"/>
    </w:rPr>
  </w:style>
  <w:style w:type="paragraph" w:customStyle="1" w:styleId="FooterEPHFF-24022022-22015PM">
    <w:name w:val="FooterEPHFF-24022022-22015 PM"/>
    <w:rsid w:val="00600646"/>
    <w:pPr>
      <w:widowControl w:val="0"/>
    </w:pPr>
    <w:rPr>
      <w:rFonts w:ascii="Arial" w:hAnsi="Arial"/>
      <w:sz w:val="22"/>
      <w:szCs w:val="24"/>
      <w:lang w:eastAsia="en-US" w:bidi="en-US"/>
    </w:rPr>
  </w:style>
  <w:style w:type="paragraph" w:customStyle="1" w:styleId="HeaderPPHFF-28022022-53321PM">
    <w:name w:val="HeaderPPHFF-28022022-53321 PM"/>
    <w:rsid w:val="009E3DE6"/>
    <w:pPr>
      <w:widowControl w:val="0"/>
    </w:pPr>
    <w:rPr>
      <w:rFonts w:ascii="Arial" w:hAnsi="Arial"/>
      <w:sz w:val="22"/>
      <w:szCs w:val="24"/>
      <w:lang w:eastAsia="en-US" w:bidi="en-US"/>
    </w:rPr>
  </w:style>
  <w:style w:type="paragraph" w:customStyle="1" w:styleId="FooterEPHFF-28022022-53322PM">
    <w:name w:val="FooterEPHFF-28022022-53322 PM"/>
    <w:rsid w:val="009E3DE6"/>
    <w:pPr>
      <w:widowControl w:val="0"/>
    </w:pPr>
    <w:rPr>
      <w:rFonts w:ascii="Arial" w:hAnsi="Arial"/>
      <w:sz w:val="22"/>
      <w:szCs w:val="24"/>
      <w:lang w:eastAsia="en-US" w:bidi="en-US"/>
    </w:rPr>
  </w:style>
  <w:style w:type="paragraph" w:customStyle="1" w:styleId="HeaderPPHFF-3032022-20156PM">
    <w:name w:val="HeaderPPHFF-3032022-20156 PM"/>
    <w:rsid w:val="005E7AEE"/>
    <w:rPr>
      <w:rFonts w:ascii="Arial" w:eastAsiaTheme="minorHAnsi" w:hAnsi="Arial" w:cstheme="minorBidi"/>
      <w:lang w:eastAsia="en-US"/>
    </w:rPr>
  </w:style>
  <w:style w:type="paragraph" w:customStyle="1" w:styleId="FooterEPHFF-3032022-20157PM">
    <w:name w:val="FooterEPHFF-3032022-20157 PM"/>
    <w:rsid w:val="005E7AEE"/>
    <w:rPr>
      <w:rFonts w:ascii="Arial" w:eastAsiaTheme="minorHAnsi" w:hAnsi="Arial" w:cstheme="minorBidi"/>
      <w:lang w:eastAsia="en-US"/>
    </w:rPr>
  </w:style>
  <w:style w:type="paragraph" w:customStyle="1" w:styleId="FooterEPHFF-7032022-103013AM">
    <w:name w:val="FooterEPHFF-7032022-103013 AM"/>
    <w:rsid w:val="00786369"/>
    <w:pPr>
      <w:keepNext/>
      <w:widowControl w:val="0"/>
      <w:spacing w:before="240" w:after="240"/>
      <w:ind w:left="851" w:hanging="851"/>
      <w:outlineLvl w:val="0"/>
    </w:pPr>
    <w:rPr>
      <w:rFonts w:ascii="Arial" w:hAnsi="Arial"/>
      <w:b/>
      <w:bCs/>
      <w:sz w:val="36"/>
      <w:szCs w:val="28"/>
      <w:lang w:eastAsia="en-US"/>
    </w:rPr>
  </w:style>
  <w:style w:type="character" w:customStyle="1" w:styleId="FootnoteTextChar">
    <w:name w:val="Footnote Text Char"/>
    <w:aliases w:val="Footnotes Text Char,FSFootnotes Text Char,FSFootnote Text Char"/>
    <w:basedOn w:val="DefaultParagraphFont"/>
    <w:link w:val="FootnoteText"/>
    <w:uiPriority w:val="5"/>
    <w:rsid w:val="007A3146"/>
    <w:rPr>
      <w:rFonts w:ascii="Arial" w:hAnsi="Arial"/>
      <w:lang w:eastAsia="en-US" w:bidi="en-US"/>
    </w:rPr>
  </w:style>
  <w:style w:type="paragraph" w:customStyle="1" w:styleId="CitaviBibliographyEntry">
    <w:name w:val="Citavi Bibliography Entry"/>
    <w:basedOn w:val="Normal"/>
    <w:link w:val="CitaviBibliographyEntryChar"/>
    <w:rsid w:val="007A3146"/>
    <w:pPr>
      <w:widowControl/>
      <w:tabs>
        <w:tab w:val="left" w:pos="397"/>
      </w:tabs>
      <w:spacing w:before="100" w:beforeAutospacing="1" w:afterAutospacing="1"/>
      <w:ind w:left="397" w:hanging="397"/>
    </w:pPr>
    <w:rPr>
      <w:rFonts w:asciiTheme="minorHAnsi" w:eastAsiaTheme="minorEastAsia" w:hAnsiTheme="minorHAnsi" w:cstheme="minorBidi"/>
      <w:szCs w:val="22"/>
      <w:lang w:val="en-AU" w:eastAsia="en-GB" w:bidi="ar-SA"/>
    </w:rPr>
  </w:style>
  <w:style w:type="character" w:customStyle="1" w:styleId="CitaviBibliographyEntryChar">
    <w:name w:val="Citavi Bibliography Entry Char"/>
    <w:basedOn w:val="DefaultParagraphFont"/>
    <w:link w:val="CitaviBibliographyEntry"/>
    <w:rsid w:val="007A3146"/>
    <w:rPr>
      <w:rFonts w:asciiTheme="minorHAnsi" w:eastAsiaTheme="minorEastAsia" w:hAnsiTheme="minorHAnsi" w:cstheme="minorBidi"/>
      <w:sz w:val="22"/>
      <w:szCs w:val="22"/>
      <w:lang w:val="en-AU"/>
    </w:rPr>
  </w:style>
  <w:style w:type="character" w:customStyle="1" w:styleId="texhtml">
    <w:name w:val="texhtml"/>
    <w:basedOn w:val="DefaultParagraphFont"/>
    <w:rsid w:val="004703EE"/>
    <w:rPr>
      <w:rFonts w:ascii="Times New Roman" w:hAnsi="Times New Roman" w:cs="Times New Roman" w:hint="default"/>
      <w:sz w:val="28"/>
      <w:szCs w:val="28"/>
    </w:rPr>
  </w:style>
  <w:style w:type="paragraph" w:customStyle="1" w:styleId="Table2">
    <w:name w:val="Table 2"/>
    <w:basedOn w:val="Normal"/>
    <w:uiPriority w:val="20"/>
    <w:qFormat/>
    <w:rsid w:val="00A145CE"/>
    <w:pPr>
      <w:spacing w:before="100" w:beforeAutospacing="1" w:after="100" w:afterAutospacing="1"/>
      <w:ind w:left="142" w:hanging="142"/>
    </w:pPr>
    <w:rPr>
      <w:bCs/>
      <w:sz w:val="18"/>
      <w:szCs w:val="20"/>
      <w:lang w:val="en-AU"/>
    </w:rPr>
  </w:style>
  <w:style w:type="paragraph" w:customStyle="1" w:styleId="131ItemHeading">
    <w:name w:val="1.3.1 Item Heading"/>
    <w:basedOn w:val="Table2"/>
    <w:next w:val="Table2"/>
    <w:uiPriority w:val="22"/>
    <w:qFormat/>
    <w:rsid w:val="00A145CE"/>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A145CE"/>
    <w:pPr>
      <w:spacing w:after="120"/>
    </w:pPr>
    <w:rPr>
      <w:caps w:val="0"/>
      <w:sz w:val="18"/>
    </w:rPr>
  </w:style>
  <w:style w:type="paragraph" w:customStyle="1" w:styleId="142Tableheading1">
    <w:name w:val="1.4.2 Table heading1"/>
    <w:basedOn w:val="Normal"/>
    <w:uiPriority w:val="22"/>
    <w:qFormat/>
    <w:rsid w:val="00A145CE"/>
    <w:pPr>
      <w:keepNext/>
      <w:spacing w:before="100" w:beforeAutospacing="1" w:after="100" w:afterAutospacing="1"/>
      <w:jc w:val="center"/>
    </w:pPr>
    <w:rPr>
      <w:rFonts w:ascii="Arial Bold" w:hAnsi="Arial Bold"/>
      <w:b/>
      <w:bCs/>
      <w:iCs/>
      <w:sz w:val="18"/>
      <w:lang w:val="en-AU"/>
    </w:rPr>
  </w:style>
  <w:style w:type="paragraph" w:customStyle="1" w:styleId="142Tableheading2">
    <w:name w:val="1.4.2 Table heading2"/>
    <w:basedOn w:val="142Tableheading1"/>
    <w:uiPriority w:val="22"/>
    <w:qFormat/>
    <w:rsid w:val="00A145CE"/>
    <w:rPr>
      <w:rFonts w:ascii="Arial" w:hAnsi="Arial"/>
      <w:b w:val="0"/>
      <w:iCs w:val="0"/>
      <w:szCs w:val="20"/>
    </w:rPr>
  </w:style>
  <w:style w:type="paragraph" w:customStyle="1" w:styleId="142Tabletext1">
    <w:name w:val="1.4.2 Table text1"/>
    <w:basedOn w:val="Normal"/>
    <w:link w:val="142Tabletext1Char"/>
    <w:uiPriority w:val="22"/>
    <w:qFormat/>
    <w:rsid w:val="00A145CE"/>
    <w:pPr>
      <w:spacing w:before="100" w:beforeAutospacing="1" w:after="100" w:afterAutospacing="1"/>
      <w:ind w:left="142" w:hanging="142"/>
    </w:pPr>
    <w:rPr>
      <w:sz w:val="18"/>
      <w:szCs w:val="20"/>
      <w:lang w:val="en-AU"/>
    </w:rPr>
  </w:style>
  <w:style w:type="character" w:customStyle="1" w:styleId="142Tabletext1Char">
    <w:name w:val="1.4.2 Table text1 Char"/>
    <w:basedOn w:val="DefaultParagraphFont"/>
    <w:link w:val="142Tabletext1"/>
    <w:uiPriority w:val="22"/>
    <w:rsid w:val="00A145CE"/>
    <w:rPr>
      <w:rFonts w:ascii="Arial" w:hAnsi="Arial"/>
      <w:sz w:val="18"/>
      <w:lang w:val="en-AU" w:eastAsia="en-US" w:bidi="en-US"/>
    </w:rPr>
  </w:style>
  <w:style w:type="paragraph" w:customStyle="1" w:styleId="142Tabletext2">
    <w:name w:val="1.4.2 Table text2"/>
    <w:basedOn w:val="142Tabletext1"/>
    <w:uiPriority w:val="22"/>
    <w:qFormat/>
    <w:rsid w:val="00A145CE"/>
    <w:pPr>
      <w:jc w:val="right"/>
    </w:pPr>
  </w:style>
  <w:style w:type="paragraph" w:customStyle="1" w:styleId="Blankpage">
    <w:name w:val="Blank page"/>
    <w:basedOn w:val="Normal"/>
    <w:next w:val="Normal"/>
    <w:uiPriority w:val="23"/>
    <w:qFormat/>
    <w:rsid w:val="00A145CE"/>
    <w:pPr>
      <w:tabs>
        <w:tab w:val="left" w:pos="851"/>
      </w:tabs>
      <w:spacing w:before="6000" w:beforeAutospacing="1" w:after="100" w:afterAutospacing="1"/>
      <w:jc w:val="center"/>
    </w:pPr>
    <w:rPr>
      <w:caps/>
      <w:szCs w:val="20"/>
      <w:lang w:val="en-AU"/>
    </w:rPr>
  </w:style>
  <w:style w:type="paragraph" w:customStyle="1" w:styleId="Clause">
    <w:name w:val="Clause"/>
    <w:basedOn w:val="Normal"/>
    <w:next w:val="Normal"/>
    <w:link w:val="ClauseChar"/>
    <w:uiPriority w:val="10"/>
    <w:qFormat/>
    <w:rsid w:val="00A145CE"/>
    <w:pPr>
      <w:tabs>
        <w:tab w:val="left" w:pos="851"/>
      </w:tabs>
      <w:spacing w:before="100" w:beforeAutospacing="1" w:after="100" w:afterAutospacing="1"/>
    </w:pPr>
    <w:rPr>
      <w:sz w:val="20"/>
      <w:szCs w:val="20"/>
      <w:lang w:val="en-AU"/>
    </w:rPr>
  </w:style>
  <w:style w:type="character" w:customStyle="1" w:styleId="ClauseChar">
    <w:name w:val="Clause Char"/>
    <w:basedOn w:val="DefaultParagraphFont"/>
    <w:link w:val="Clause"/>
    <w:uiPriority w:val="10"/>
    <w:rsid w:val="00A145CE"/>
    <w:rPr>
      <w:rFonts w:ascii="Arial" w:hAnsi="Arial"/>
      <w:lang w:val="en-AU" w:eastAsia="en-US" w:bidi="en-US"/>
    </w:rPr>
  </w:style>
  <w:style w:type="paragraph" w:customStyle="1" w:styleId="Clauseheading">
    <w:name w:val="Clause heading"/>
    <w:basedOn w:val="Normal"/>
    <w:next w:val="Normal"/>
    <w:uiPriority w:val="14"/>
    <w:qFormat/>
    <w:rsid w:val="00A145CE"/>
    <w:pPr>
      <w:keepNext/>
      <w:tabs>
        <w:tab w:val="left" w:pos="851"/>
      </w:tabs>
      <w:spacing w:before="100" w:beforeAutospacing="1" w:after="100" w:afterAutospacing="1"/>
    </w:pPr>
    <w:rPr>
      <w:b/>
      <w:sz w:val="20"/>
      <w:szCs w:val="20"/>
      <w:lang w:val="en-AU"/>
    </w:rPr>
  </w:style>
  <w:style w:type="paragraph" w:customStyle="1" w:styleId="ClauseList">
    <w:name w:val="Clause List"/>
    <w:basedOn w:val="Clause"/>
    <w:next w:val="Normal"/>
    <w:uiPriority w:val="14"/>
    <w:qFormat/>
    <w:rsid w:val="00A145CE"/>
    <w:pPr>
      <w:tabs>
        <w:tab w:val="clear" w:pos="851"/>
      </w:tabs>
      <w:ind w:left="851" w:hanging="851"/>
    </w:pPr>
  </w:style>
  <w:style w:type="paragraph" w:customStyle="1" w:styleId="Definition">
    <w:name w:val="Definition"/>
    <w:basedOn w:val="Normal"/>
    <w:next w:val="Normal"/>
    <w:uiPriority w:val="15"/>
    <w:qFormat/>
    <w:rsid w:val="00A145CE"/>
    <w:pPr>
      <w:spacing w:before="100" w:beforeAutospacing="1" w:after="100" w:afterAutospacing="1"/>
      <w:ind w:left="1701" w:hanging="851"/>
    </w:pPr>
    <w:rPr>
      <w:sz w:val="20"/>
      <w:szCs w:val="20"/>
      <w:lang w:val="en-AU"/>
    </w:rPr>
  </w:style>
  <w:style w:type="paragraph" w:customStyle="1" w:styleId="DivisionHeading">
    <w:name w:val="Division Heading"/>
    <w:basedOn w:val="Normal"/>
    <w:next w:val="Normal"/>
    <w:uiPriority w:val="15"/>
    <w:qFormat/>
    <w:rsid w:val="00A145CE"/>
    <w:pPr>
      <w:keepNext/>
      <w:tabs>
        <w:tab w:val="left" w:pos="851"/>
      </w:tabs>
      <w:spacing w:before="100" w:beforeAutospacing="1" w:after="100" w:afterAutospacing="1"/>
      <w:jc w:val="center"/>
    </w:pPr>
    <w:rPr>
      <w:b/>
      <w:sz w:val="26"/>
      <w:szCs w:val="20"/>
      <w:lang w:val="en-AU"/>
    </w:rPr>
  </w:style>
  <w:style w:type="paragraph" w:customStyle="1" w:styleId="EditorialNoteLine1">
    <w:name w:val="Editorial Note Line 1"/>
    <w:basedOn w:val="Normal"/>
    <w:next w:val="Normal"/>
    <w:uiPriority w:val="16"/>
    <w:qFormat/>
    <w:rsid w:val="00A145CE"/>
    <w:pPr>
      <w:keepNext/>
      <w:pBdr>
        <w:top w:val="single" w:sz="6" w:space="0" w:color="auto"/>
        <w:left w:val="single" w:sz="6" w:space="0" w:color="auto"/>
        <w:bottom w:val="single" w:sz="6" w:space="0" w:color="auto"/>
        <w:right w:val="single" w:sz="6" w:space="0" w:color="auto"/>
      </w:pBdr>
      <w:tabs>
        <w:tab w:val="left" w:pos="851"/>
      </w:tabs>
      <w:spacing w:before="100" w:beforeAutospacing="1" w:after="100" w:afterAutospacing="1"/>
    </w:pPr>
    <w:rPr>
      <w:b/>
      <w:sz w:val="20"/>
      <w:szCs w:val="20"/>
      <w:lang w:val="en-AU"/>
    </w:rPr>
  </w:style>
  <w:style w:type="paragraph" w:customStyle="1" w:styleId="EditorialNotetext">
    <w:name w:val="Editorial Note text"/>
    <w:basedOn w:val="EditorialNoteLine1"/>
    <w:uiPriority w:val="16"/>
    <w:qFormat/>
    <w:rsid w:val="00A145CE"/>
    <w:pPr>
      <w:keepNext w:val="0"/>
    </w:pPr>
    <w:rPr>
      <w:b w:val="0"/>
    </w:rPr>
  </w:style>
  <w:style w:type="character" w:customStyle="1" w:styleId="FooterChar">
    <w:name w:val="Footer Char"/>
    <w:aliases w:val="FSFooter Char"/>
    <w:basedOn w:val="DefaultParagraphFont"/>
    <w:link w:val="Footer"/>
    <w:uiPriority w:val="99"/>
    <w:rsid w:val="00A145CE"/>
    <w:rPr>
      <w:rFonts w:ascii="Arial" w:hAnsi="Arial"/>
      <w:szCs w:val="24"/>
      <w:lang w:eastAsia="en-US" w:bidi="en-US"/>
    </w:rPr>
  </w:style>
  <w:style w:type="paragraph" w:customStyle="1" w:styleId="FSCaption">
    <w:name w:val="FSCaption"/>
    <w:basedOn w:val="Normal"/>
    <w:uiPriority w:val="9"/>
    <w:qFormat/>
    <w:locked/>
    <w:rsid w:val="00A145CE"/>
    <w:pPr>
      <w:keepNext/>
      <w:keepLines/>
      <w:spacing w:before="120" w:beforeAutospacing="1" w:after="100" w:afterAutospacing="1"/>
    </w:pPr>
    <w:rPr>
      <w:i/>
      <w:sz w:val="16"/>
      <w:szCs w:val="16"/>
      <w:lang w:val="en-AU"/>
    </w:rPr>
  </w:style>
  <w:style w:type="paragraph" w:customStyle="1" w:styleId="FSCFootnote">
    <w:name w:val="FSCFootnote"/>
    <w:basedOn w:val="Normal"/>
    <w:next w:val="Normal"/>
    <w:uiPriority w:val="17"/>
    <w:qFormat/>
    <w:locked/>
    <w:rsid w:val="00A145CE"/>
    <w:pPr>
      <w:spacing w:before="100" w:beforeAutospacing="1" w:after="100" w:afterAutospacing="1"/>
    </w:pPr>
    <w:rPr>
      <w:sz w:val="16"/>
      <w:szCs w:val="20"/>
      <w:lang w:val="en-AU"/>
    </w:rPr>
  </w:style>
  <w:style w:type="paragraph" w:customStyle="1" w:styleId="FSCFooter0">
    <w:name w:val="FSCFooter"/>
    <w:basedOn w:val="FSCFootnote"/>
    <w:uiPriority w:val="17"/>
    <w:qFormat/>
    <w:locked/>
    <w:rsid w:val="00A145CE"/>
    <w:pPr>
      <w:tabs>
        <w:tab w:val="center" w:pos="4536"/>
        <w:tab w:val="right" w:pos="9070"/>
      </w:tabs>
    </w:pPr>
    <w:rPr>
      <w:sz w:val="18"/>
      <w:szCs w:val="18"/>
    </w:rPr>
  </w:style>
  <w:style w:type="paragraph" w:customStyle="1" w:styleId="FSPagenumber">
    <w:name w:val="FSPage number"/>
    <w:basedOn w:val="Normal"/>
    <w:uiPriority w:val="1"/>
    <w:qFormat/>
    <w:locked/>
    <w:rsid w:val="00A145CE"/>
    <w:pPr>
      <w:spacing w:before="100" w:beforeAutospacing="1" w:after="100" w:afterAutospacing="1"/>
      <w:jc w:val="center"/>
    </w:pPr>
    <w:rPr>
      <w:sz w:val="20"/>
      <w:szCs w:val="20"/>
      <w:lang w:val="en-AU"/>
    </w:rPr>
  </w:style>
  <w:style w:type="paragraph" w:customStyle="1" w:styleId="FSTableColumnRowheading">
    <w:name w:val="FSTable Column/Row heading"/>
    <w:basedOn w:val="Normal"/>
    <w:link w:val="FSTableColumnRowheadingChar"/>
    <w:uiPriority w:val="8"/>
    <w:qFormat/>
    <w:locked/>
    <w:rsid w:val="00A145CE"/>
    <w:pPr>
      <w:spacing w:before="120" w:beforeAutospacing="1" w:after="120" w:afterAutospacing="1"/>
    </w:pPr>
    <w:rPr>
      <w:b/>
      <w:sz w:val="20"/>
      <w:szCs w:val="20"/>
      <w:lang w:val="en-AU"/>
    </w:rPr>
  </w:style>
  <w:style w:type="paragraph" w:customStyle="1" w:styleId="FSTableFigureHeading">
    <w:name w:val="FSTable/Figure Heading"/>
    <w:basedOn w:val="Normal"/>
    <w:uiPriority w:val="7"/>
    <w:qFormat/>
    <w:locked/>
    <w:rsid w:val="00A145CE"/>
    <w:pPr>
      <w:spacing w:before="120" w:beforeAutospacing="1" w:after="120" w:afterAutospacing="1"/>
      <w:ind w:left="1134" w:hanging="1134"/>
    </w:pPr>
    <w:rPr>
      <w:b/>
      <w:i/>
      <w:lang w:val="en-AU"/>
    </w:rPr>
  </w:style>
  <w:style w:type="paragraph" w:customStyle="1" w:styleId="Paragraph">
    <w:name w:val="Paragraph"/>
    <w:basedOn w:val="Clause"/>
    <w:next w:val="Normal"/>
    <w:uiPriority w:val="12"/>
    <w:qFormat/>
    <w:rsid w:val="00A145CE"/>
    <w:pPr>
      <w:tabs>
        <w:tab w:val="clear" w:pos="851"/>
      </w:tabs>
      <w:ind w:left="1702" w:hanging="851"/>
    </w:pPr>
  </w:style>
  <w:style w:type="paragraph" w:customStyle="1" w:styleId="ScheduleHeading">
    <w:name w:val="Schedule Heading"/>
    <w:basedOn w:val="Normal"/>
    <w:next w:val="Normal"/>
    <w:uiPriority w:val="18"/>
    <w:qFormat/>
    <w:rsid w:val="00A145CE"/>
    <w:pPr>
      <w:tabs>
        <w:tab w:val="left" w:pos="851"/>
      </w:tabs>
      <w:spacing w:before="100" w:beforeAutospacing="1" w:after="100" w:afterAutospacing="1"/>
      <w:jc w:val="center"/>
    </w:pPr>
    <w:rPr>
      <w:b/>
      <w:caps/>
      <w:sz w:val="20"/>
      <w:szCs w:val="20"/>
      <w:lang w:val="en-AU"/>
    </w:rPr>
  </w:style>
  <w:style w:type="paragraph" w:customStyle="1" w:styleId="Standardtitle">
    <w:name w:val="Standard title"/>
    <w:basedOn w:val="Normal"/>
    <w:uiPriority w:val="18"/>
    <w:qFormat/>
    <w:rsid w:val="00A145CE"/>
    <w:pPr>
      <w:keepNext/>
      <w:tabs>
        <w:tab w:val="left" w:pos="851"/>
      </w:tabs>
      <w:spacing w:before="100" w:beforeAutospacing="1" w:after="100" w:afterAutospacing="1"/>
      <w:jc w:val="center"/>
    </w:pPr>
    <w:rPr>
      <w:b/>
      <w:i/>
      <w:iCs/>
      <w:caps/>
      <w:sz w:val="28"/>
      <w:szCs w:val="20"/>
      <w:lang w:val="en-AU"/>
    </w:rPr>
  </w:style>
  <w:style w:type="paragraph" w:customStyle="1" w:styleId="Subclause">
    <w:name w:val="Subclause"/>
    <w:basedOn w:val="Clause"/>
    <w:uiPriority w:val="11"/>
    <w:qFormat/>
    <w:rsid w:val="00A145CE"/>
    <w:pPr>
      <w:ind w:left="567" w:hanging="567"/>
    </w:pPr>
  </w:style>
  <w:style w:type="paragraph" w:customStyle="1" w:styleId="Subparagraph">
    <w:name w:val="Subparagraph"/>
    <w:basedOn w:val="Paragraph"/>
    <w:next w:val="Normal"/>
    <w:uiPriority w:val="13"/>
    <w:qFormat/>
    <w:rsid w:val="00A145CE"/>
    <w:pPr>
      <w:ind w:left="2553"/>
    </w:pPr>
  </w:style>
  <w:style w:type="paragraph" w:customStyle="1" w:styleId="Table1">
    <w:name w:val="Table 1"/>
    <w:basedOn w:val="Normal"/>
    <w:uiPriority w:val="20"/>
    <w:qFormat/>
    <w:rsid w:val="00A145CE"/>
    <w:pPr>
      <w:keepNext/>
      <w:spacing w:before="100" w:beforeAutospacing="1" w:after="120" w:afterAutospacing="1"/>
      <w:jc w:val="center"/>
    </w:pPr>
    <w:rPr>
      <w:b/>
      <w:bCs/>
      <w:sz w:val="18"/>
      <w:szCs w:val="20"/>
      <w:lang w:val="en-AU"/>
    </w:rPr>
  </w:style>
  <w:style w:type="paragraph" w:customStyle="1" w:styleId="TitleBorder">
    <w:name w:val="TitleBorder"/>
    <w:basedOn w:val="Normal"/>
    <w:uiPriority w:val="19"/>
    <w:qFormat/>
    <w:rsid w:val="00A145CE"/>
    <w:pPr>
      <w:pBdr>
        <w:bottom w:val="double" w:sz="6" w:space="0" w:color="auto"/>
      </w:pBdr>
      <w:tabs>
        <w:tab w:val="left" w:pos="851"/>
      </w:tabs>
      <w:spacing w:before="100" w:beforeAutospacing="1" w:after="100" w:afterAutospacing="1"/>
    </w:pPr>
    <w:rPr>
      <w:sz w:val="20"/>
      <w:szCs w:val="20"/>
      <w:lang w:val="en-AU"/>
    </w:rPr>
  </w:style>
  <w:style w:type="paragraph" w:styleId="NoSpacing">
    <w:name w:val="No Spacing"/>
    <w:uiPriority w:val="20"/>
    <w:rsid w:val="00A145CE"/>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A145CE"/>
    <w:pPr>
      <w:numPr>
        <w:ilvl w:val="1"/>
      </w:numPr>
      <w:spacing w:before="100" w:beforeAutospacing="1" w:after="100" w:afterAutospacing="1"/>
      <w:ind w:left="567" w:hanging="567"/>
    </w:pPr>
    <w:rPr>
      <w:rFonts w:asciiTheme="majorHAnsi" w:eastAsiaTheme="majorEastAsia" w:hAnsiTheme="majorHAnsi" w:cstheme="majorBidi"/>
      <w:i/>
      <w:iCs/>
      <w:color w:val="4F81BD" w:themeColor="accent1"/>
      <w:spacing w:val="15"/>
      <w:sz w:val="24"/>
      <w:lang w:val="en-AU"/>
    </w:rPr>
  </w:style>
  <w:style w:type="character" w:customStyle="1" w:styleId="SubtitleChar">
    <w:name w:val="Subtitle Char"/>
    <w:basedOn w:val="DefaultParagraphFont"/>
    <w:link w:val="Subtitle"/>
    <w:uiPriority w:val="11"/>
    <w:rsid w:val="00A145CE"/>
    <w:rPr>
      <w:rFonts w:asciiTheme="majorHAnsi" w:eastAsiaTheme="majorEastAsia" w:hAnsiTheme="majorHAnsi" w:cstheme="majorBidi"/>
      <w:i/>
      <w:iCs/>
      <w:color w:val="4F81BD" w:themeColor="accent1"/>
      <w:spacing w:val="15"/>
      <w:sz w:val="24"/>
      <w:szCs w:val="24"/>
      <w:lang w:val="en-AU" w:eastAsia="en-US" w:bidi="en-US"/>
    </w:rPr>
  </w:style>
  <w:style w:type="character" w:styleId="IntenseEmphasis">
    <w:name w:val="Intense Emphasis"/>
    <w:basedOn w:val="DefaultParagraphFont"/>
    <w:uiPriority w:val="21"/>
    <w:rsid w:val="00A145CE"/>
    <w:rPr>
      <w:b/>
      <w:bCs/>
      <w:i/>
      <w:iCs/>
      <w:color w:val="4F81BD" w:themeColor="accent1"/>
    </w:rPr>
  </w:style>
  <w:style w:type="character" w:customStyle="1" w:styleId="BalloonTextChar">
    <w:name w:val="Balloon Text Char"/>
    <w:basedOn w:val="DefaultParagraphFont"/>
    <w:link w:val="BalloonText"/>
    <w:uiPriority w:val="99"/>
    <w:semiHidden/>
    <w:rsid w:val="00A145CE"/>
    <w:rPr>
      <w:rFonts w:ascii="Tahoma" w:hAnsi="Tahoma" w:cs="Tahoma"/>
      <w:sz w:val="16"/>
      <w:szCs w:val="16"/>
      <w:lang w:eastAsia="en-US" w:bidi="en-US"/>
    </w:rPr>
  </w:style>
  <w:style w:type="paragraph" w:customStyle="1" w:styleId="FSBullet">
    <w:name w:val="FS Bullet"/>
    <w:basedOn w:val="Normal"/>
    <w:next w:val="Normal"/>
    <w:link w:val="FSBulletChar"/>
    <w:qFormat/>
    <w:rsid w:val="00A145CE"/>
    <w:pPr>
      <w:spacing w:before="100" w:beforeAutospacing="1" w:after="100" w:afterAutospacing="1"/>
      <w:ind w:left="567" w:hanging="567"/>
    </w:pPr>
    <w:rPr>
      <w:rFonts w:cs="Arial"/>
      <w:lang w:val="en-AU"/>
    </w:rPr>
  </w:style>
  <w:style w:type="character" w:customStyle="1" w:styleId="FSBulletChar">
    <w:name w:val="FS Bullet Char"/>
    <w:basedOn w:val="DefaultParagraphFont"/>
    <w:link w:val="FSBullet"/>
    <w:rsid w:val="00A145CE"/>
    <w:rPr>
      <w:rFonts w:ascii="Arial" w:hAnsi="Arial" w:cs="Arial"/>
      <w:sz w:val="22"/>
      <w:szCs w:val="24"/>
      <w:lang w:val="en-AU" w:eastAsia="en-US" w:bidi="en-US"/>
    </w:rPr>
  </w:style>
  <w:style w:type="character" w:customStyle="1" w:styleId="st1">
    <w:name w:val="st1"/>
    <w:rsid w:val="00A145CE"/>
  </w:style>
  <w:style w:type="table" w:customStyle="1" w:styleId="TableGrid1">
    <w:name w:val="Table Grid1"/>
    <w:basedOn w:val="TableNormal"/>
    <w:next w:val="TableGrid"/>
    <w:uiPriority w:val="59"/>
    <w:rsid w:val="00A145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A145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A145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145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A145C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A145CE"/>
    <w:pPr>
      <w:widowControl/>
      <w:spacing w:before="240" w:beforeAutospacing="1" w:after="60" w:afterAutospacing="1"/>
      <w:jc w:val="center"/>
      <w:outlineLvl w:val="0"/>
    </w:pPr>
    <w:rPr>
      <w:rFonts w:ascii="Cambria" w:hAnsi="Cambria"/>
      <w:b/>
      <w:bCs/>
      <w:kern w:val="28"/>
      <w:sz w:val="32"/>
      <w:szCs w:val="32"/>
      <w:lang w:val="en-AU" w:bidi="ar-SA"/>
    </w:rPr>
  </w:style>
  <w:style w:type="character" w:customStyle="1" w:styleId="TitleChar">
    <w:name w:val="Title Char"/>
    <w:basedOn w:val="DefaultParagraphFont"/>
    <w:link w:val="Title"/>
    <w:uiPriority w:val="10"/>
    <w:rsid w:val="00A145CE"/>
    <w:rPr>
      <w:rFonts w:ascii="Cambria" w:hAnsi="Cambria"/>
      <w:b/>
      <w:bCs/>
      <w:kern w:val="28"/>
      <w:sz w:val="32"/>
      <w:szCs w:val="32"/>
      <w:lang w:val="en-AU" w:eastAsia="en-US"/>
    </w:rPr>
  </w:style>
  <w:style w:type="paragraph" w:styleId="Caption">
    <w:name w:val="caption"/>
    <w:basedOn w:val="Normal"/>
    <w:next w:val="Normal"/>
    <w:uiPriority w:val="35"/>
    <w:unhideWhenUsed/>
    <w:qFormat/>
    <w:rsid w:val="00A145CE"/>
    <w:pPr>
      <w:spacing w:before="100" w:beforeAutospacing="1" w:after="200" w:afterAutospacing="1"/>
    </w:pPr>
    <w:rPr>
      <w:b/>
      <w:bCs/>
      <w:color w:val="4F81BD" w:themeColor="accent1"/>
      <w:sz w:val="18"/>
      <w:szCs w:val="18"/>
      <w:lang w:val="en-AU"/>
    </w:rPr>
  </w:style>
  <w:style w:type="character" w:styleId="PlaceholderText">
    <w:name w:val="Placeholder Text"/>
    <w:basedOn w:val="DefaultParagraphFont"/>
    <w:uiPriority w:val="99"/>
    <w:semiHidden/>
    <w:rsid w:val="00A145CE"/>
    <w:rPr>
      <w:color w:val="808080"/>
    </w:rPr>
  </w:style>
  <w:style w:type="paragraph" w:customStyle="1" w:styleId="CitaviBibliographyHeading">
    <w:name w:val="Citavi Bibliography Heading"/>
    <w:basedOn w:val="Heading1"/>
    <w:link w:val="CitaviBibliographyHeadingChar"/>
    <w:rsid w:val="00A145CE"/>
    <w:pPr>
      <w:spacing w:before="100" w:beforeAutospacing="1" w:afterAutospacing="1"/>
    </w:pPr>
    <w:rPr>
      <w:rFonts w:eastAsiaTheme="majorEastAsia" w:cstheme="majorBidi"/>
      <w:lang w:val="en-AU" w:bidi="en-US"/>
    </w:rPr>
  </w:style>
  <w:style w:type="character" w:customStyle="1" w:styleId="CitaviBibliographyHeadingChar">
    <w:name w:val="Citavi Bibliography Heading Char"/>
    <w:basedOn w:val="DefaultParagraphFont"/>
    <w:link w:val="CitaviBibliographyHeading"/>
    <w:rsid w:val="00A145CE"/>
    <w:rPr>
      <w:rFonts w:ascii="Arial" w:eastAsiaTheme="majorEastAsia" w:hAnsi="Arial" w:cstheme="majorBidi"/>
      <w:b/>
      <w:bCs/>
      <w:sz w:val="36"/>
      <w:szCs w:val="28"/>
      <w:lang w:val="en-AU" w:eastAsia="en-US" w:bidi="en-US"/>
    </w:rPr>
  </w:style>
  <w:style w:type="paragraph" w:styleId="Bibliography">
    <w:name w:val="Bibliography"/>
    <w:basedOn w:val="Normal"/>
    <w:next w:val="Normal"/>
    <w:uiPriority w:val="37"/>
    <w:semiHidden/>
    <w:unhideWhenUsed/>
    <w:rsid w:val="00A145CE"/>
    <w:pPr>
      <w:widowControl/>
      <w:spacing w:before="100" w:beforeAutospacing="1"/>
    </w:pPr>
    <w:rPr>
      <w:rFonts w:eastAsiaTheme="minorHAnsi" w:cstheme="minorBidi"/>
      <w:szCs w:val="22"/>
      <w:lang w:val="en-AU" w:bidi="ar-SA"/>
    </w:rPr>
  </w:style>
  <w:style w:type="character" w:styleId="BookTitle">
    <w:name w:val="Book Title"/>
    <w:basedOn w:val="DefaultParagraphFont"/>
    <w:uiPriority w:val="33"/>
    <w:rsid w:val="00A145CE"/>
    <w:rPr>
      <w:b/>
      <w:bCs/>
      <w:smallCaps/>
      <w:spacing w:val="5"/>
    </w:rPr>
  </w:style>
  <w:style w:type="character" w:styleId="IntenseReference">
    <w:name w:val="Intense Reference"/>
    <w:basedOn w:val="DefaultParagraphFont"/>
    <w:uiPriority w:val="32"/>
    <w:rsid w:val="00A145CE"/>
    <w:rPr>
      <w:b/>
      <w:bCs/>
      <w:smallCaps/>
      <w:color w:val="C0504D" w:themeColor="accent2"/>
      <w:spacing w:val="5"/>
      <w:u w:val="single"/>
    </w:rPr>
  </w:style>
  <w:style w:type="character" w:styleId="SubtleReference">
    <w:name w:val="Subtle Reference"/>
    <w:basedOn w:val="DefaultParagraphFont"/>
    <w:uiPriority w:val="31"/>
    <w:rsid w:val="00A145CE"/>
    <w:rPr>
      <w:smallCaps/>
      <w:color w:val="C0504D" w:themeColor="accent2"/>
      <w:u w:val="single"/>
    </w:rPr>
  </w:style>
  <w:style w:type="character" w:styleId="SubtleEmphasis">
    <w:name w:val="Subtle Emphasis"/>
    <w:basedOn w:val="DefaultParagraphFont"/>
    <w:uiPriority w:val="19"/>
    <w:rsid w:val="00A145CE"/>
    <w:rPr>
      <w:i/>
      <w:iCs/>
      <w:color w:val="808080" w:themeColor="text1" w:themeTint="7F"/>
    </w:rPr>
  </w:style>
  <w:style w:type="paragraph" w:styleId="IntenseQuote">
    <w:name w:val="Intense Quote"/>
    <w:basedOn w:val="Normal"/>
    <w:next w:val="Normal"/>
    <w:link w:val="IntenseQuoteChar"/>
    <w:uiPriority w:val="30"/>
    <w:rsid w:val="00A145CE"/>
    <w:pPr>
      <w:widowControl/>
      <w:pBdr>
        <w:bottom w:val="single" w:sz="4" w:space="4" w:color="4F81BD" w:themeColor="accent1"/>
      </w:pBdr>
      <w:spacing w:before="200" w:beforeAutospacing="1" w:after="280"/>
      <w:ind w:left="936" w:right="936"/>
    </w:pPr>
    <w:rPr>
      <w:rFonts w:eastAsia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A145CE"/>
    <w:rPr>
      <w:rFonts w:ascii="Arial" w:eastAsiaTheme="minorHAnsi" w:hAnsi="Arial" w:cstheme="minorBidi"/>
      <w:b/>
      <w:bCs/>
      <w:i/>
      <w:iCs/>
      <w:color w:val="4F81BD" w:themeColor="accent1"/>
      <w:sz w:val="22"/>
      <w:szCs w:val="22"/>
      <w:lang w:val="en-AU" w:eastAsia="en-US"/>
    </w:rPr>
  </w:style>
  <w:style w:type="paragraph" w:styleId="Quote">
    <w:name w:val="Quote"/>
    <w:basedOn w:val="Normal"/>
    <w:next w:val="Normal"/>
    <w:link w:val="QuoteChar"/>
    <w:uiPriority w:val="29"/>
    <w:rsid w:val="00A145CE"/>
    <w:pPr>
      <w:widowControl/>
      <w:spacing w:before="100" w:beforeAutospacing="1"/>
    </w:pPr>
    <w:rPr>
      <w:rFonts w:eastAsia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A145CE"/>
    <w:rPr>
      <w:rFonts w:ascii="Arial" w:eastAsiaTheme="minorHAnsi" w:hAnsi="Arial" w:cstheme="minorBidi"/>
      <w:i/>
      <w:iCs/>
      <w:color w:val="000000" w:themeColor="text1"/>
      <w:sz w:val="22"/>
      <w:szCs w:val="22"/>
      <w:lang w:val="en-AU" w:eastAsia="en-US"/>
    </w:rPr>
  </w:style>
  <w:style w:type="table" w:styleId="MediumList1-Accent1">
    <w:name w:val="Medium List 1 Accent 1"/>
    <w:basedOn w:val="TableNormal"/>
    <w:uiPriority w:val="65"/>
    <w:rsid w:val="00A145CE"/>
    <w:rPr>
      <w:rFonts w:ascii="Arial" w:eastAsiaTheme="minorHAnsi" w:hAnsi="Arial" w:cs="Arial"/>
      <w:color w:val="000000" w:themeColor="text1"/>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A145CE"/>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A145CE"/>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A145CE"/>
    <w:rPr>
      <w:rFonts w:ascii="Arial" w:eastAsiaTheme="minorHAnsi" w:hAnsi="Arial" w:cs="Arial"/>
      <w:color w:val="365F91" w:themeColor="accent1" w:themeShade="BF"/>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A145CE"/>
    <w:rPr>
      <w:rFonts w:ascii="Arial" w:eastAsiaTheme="minorHAnsi" w:hAnsi="Arial" w:cs="Arial"/>
      <w:color w:val="000000" w:themeColor="text1"/>
      <w:sz w:val="22"/>
      <w:szCs w:val="22"/>
      <w:lang w:val="en-AU"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A145CE"/>
    <w:rPr>
      <w:rFonts w:ascii="Arial" w:eastAsiaTheme="minorHAnsi" w:hAnsi="Arial" w:cs="Arial"/>
      <w:color w:val="000000" w:themeColor="text1"/>
      <w:sz w:val="22"/>
      <w:szCs w:val="22"/>
      <w:lang w:val="en-AU"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A145CE"/>
    <w:rPr>
      <w:rFonts w:ascii="Arial" w:eastAsiaTheme="minorHAnsi" w:hAnsi="Arial" w:cs="Arial"/>
      <w:color w:val="000000" w:themeColor="text1"/>
      <w:sz w:val="22"/>
      <w:szCs w:val="22"/>
      <w:lang w:val="en-AU"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145CE"/>
    <w:rPr>
      <w:rFonts w:ascii="Arial" w:eastAsiaTheme="minorHAnsi" w:hAnsi="Arial" w:cs="Arial"/>
      <w:color w:val="FFFFFF" w:themeColor="background1"/>
      <w:sz w:val="22"/>
      <w:szCs w:val="22"/>
      <w:lang w:val="en-AU"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A145CE"/>
    <w:rPr>
      <w:rFonts w:ascii="Arial" w:eastAsiaTheme="minorHAnsi" w:hAnsi="Arial" w:cs="Arial"/>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A145CE"/>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A145CE"/>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A145CE"/>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A145CE"/>
    <w:rPr>
      <w:rFonts w:ascii="Arial" w:eastAsiaTheme="minorHAnsi" w:hAnsi="Arial" w:cs="Arial"/>
      <w:color w:val="000000" w:themeColor="text1"/>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A145CE"/>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A145CE"/>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A145CE"/>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A145CE"/>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145CE"/>
    <w:rPr>
      <w:rFonts w:ascii="Arial" w:eastAsiaTheme="minorHAnsi" w:hAnsi="Arial" w:cs="Arial"/>
      <w:color w:val="000000" w:themeColor="text1" w:themeShade="BF"/>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unhideWhenUsed/>
    <w:rsid w:val="00A145CE"/>
    <w:rPr>
      <w:i/>
      <w:iCs/>
    </w:rPr>
  </w:style>
  <w:style w:type="character" w:styleId="HTMLTypewriter">
    <w:name w:val="HTML Typewriter"/>
    <w:basedOn w:val="DefaultParagraphFont"/>
    <w:uiPriority w:val="99"/>
    <w:unhideWhenUsed/>
    <w:rsid w:val="00A145CE"/>
    <w:rPr>
      <w:rFonts w:ascii="Consolas" w:hAnsi="Consolas" w:cs="Consolas"/>
      <w:sz w:val="20"/>
      <w:szCs w:val="20"/>
    </w:rPr>
  </w:style>
  <w:style w:type="character" w:styleId="HTMLSample">
    <w:name w:val="HTML Sample"/>
    <w:basedOn w:val="DefaultParagraphFont"/>
    <w:uiPriority w:val="99"/>
    <w:unhideWhenUsed/>
    <w:rsid w:val="00A145CE"/>
    <w:rPr>
      <w:rFonts w:ascii="Consolas" w:hAnsi="Consolas" w:cs="Consolas"/>
      <w:sz w:val="24"/>
      <w:szCs w:val="24"/>
    </w:rPr>
  </w:style>
  <w:style w:type="paragraph" w:styleId="HTMLPreformatted">
    <w:name w:val="HTML Preformatted"/>
    <w:basedOn w:val="Normal"/>
    <w:link w:val="HTMLPreformattedChar"/>
    <w:uiPriority w:val="99"/>
    <w:unhideWhenUsed/>
    <w:rsid w:val="00A145CE"/>
    <w:pPr>
      <w:widowControl/>
      <w:spacing w:before="100" w:beforeAutospacing="1"/>
    </w:pPr>
    <w:rPr>
      <w:rFonts w:ascii="Consolas" w:eastAsiaTheme="minorHAnsi" w:hAnsi="Consolas" w:cs="Consolas"/>
      <w:sz w:val="20"/>
      <w:szCs w:val="20"/>
      <w:lang w:val="en-AU" w:bidi="ar-SA"/>
    </w:rPr>
  </w:style>
  <w:style w:type="character" w:customStyle="1" w:styleId="HTMLPreformattedChar">
    <w:name w:val="HTML Preformatted Char"/>
    <w:basedOn w:val="DefaultParagraphFont"/>
    <w:link w:val="HTMLPreformatted"/>
    <w:uiPriority w:val="99"/>
    <w:rsid w:val="00A145CE"/>
    <w:rPr>
      <w:rFonts w:ascii="Consolas" w:eastAsiaTheme="minorHAnsi" w:hAnsi="Consolas" w:cs="Consolas"/>
      <w:lang w:val="en-AU" w:eastAsia="en-US"/>
    </w:rPr>
  </w:style>
  <w:style w:type="character" w:styleId="HTMLKeyboard">
    <w:name w:val="HTML Keyboard"/>
    <w:basedOn w:val="DefaultParagraphFont"/>
    <w:uiPriority w:val="99"/>
    <w:unhideWhenUsed/>
    <w:rsid w:val="00A145CE"/>
    <w:rPr>
      <w:rFonts w:ascii="Consolas" w:hAnsi="Consolas" w:cs="Consolas"/>
      <w:sz w:val="20"/>
      <w:szCs w:val="20"/>
    </w:rPr>
  </w:style>
  <w:style w:type="character" w:styleId="HTMLDefinition">
    <w:name w:val="HTML Definition"/>
    <w:basedOn w:val="DefaultParagraphFont"/>
    <w:uiPriority w:val="99"/>
    <w:unhideWhenUsed/>
    <w:rsid w:val="00A145CE"/>
    <w:rPr>
      <w:i/>
      <w:iCs/>
    </w:rPr>
  </w:style>
  <w:style w:type="character" w:styleId="HTMLCode">
    <w:name w:val="HTML Code"/>
    <w:basedOn w:val="DefaultParagraphFont"/>
    <w:uiPriority w:val="99"/>
    <w:unhideWhenUsed/>
    <w:rsid w:val="00A145CE"/>
    <w:rPr>
      <w:rFonts w:ascii="Consolas" w:hAnsi="Consolas" w:cs="Consolas"/>
      <w:sz w:val="20"/>
      <w:szCs w:val="20"/>
    </w:rPr>
  </w:style>
  <w:style w:type="character" w:styleId="HTMLCite">
    <w:name w:val="HTML Cite"/>
    <w:basedOn w:val="DefaultParagraphFont"/>
    <w:uiPriority w:val="99"/>
    <w:unhideWhenUsed/>
    <w:rsid w:val="00A145CE"/>
    <w:rPr>
      <w:i/>
      <w:iCs/>
    </w:rPr>
  </w:style>
  <w:style w:type="paragraph" w:styleId="HTMLAddress">
    <w:name w:val="HTML Address"/>
    <w:basedOn w:val="Normal"/>
    <w:link w:val="HTMLAddressChar"/>
    <w:uiPriority w:val="99"/>
    <w:unhideWhenUsed/>
    <w:rsid w:val="00A145CE"/>
    <w:pPr>
      <w:widowControl/>
      <w:spacing w:before="100" w:beforeAutospacing="1"/>
    </w:pPr>
    <w:rPr>
      <w:rFonts w:eastAsiaTheme="minorHAnsi" w:cstheme="minorBidi"/>
      <w:i/>
      <w:iCs/>
      <w:szCs w:val="22"/>
      <w:lang w:val="en-AU" w:bidi="ar-SA"/>
    </w:rPr>
  </w:style>
  <w:style w:type="character" w:customStyle="1" w:styleId="HTMLAddressChar">
    <w:name w:val="HTML Address Char"/>
    <w:basedOn w:val="DefaultParagraphFont"/>
    <w:link w:val="HTMLAddress"/>
    <w:uiPriority w:val="99"/>
    <w:rsid w:val="00A145CE"/>
    <w:rPr>
      <w:rFonts w:ascii="Arial" w:eastAsiaTheme="minorHAnsi" w:hAnsi="Arial" w:cstheme="minorBidi"/>
      <w:i/>
      <w:iCs/>
      <w:sz w:val="22"/>
      <w:szCs w:val="22"/>
      <w:lang w:val="en-AU" w:eastAsia="en-US"/>
    </w:rPr>
  </w:style>
  <w:style w:type="character" w:styleId="HTMLAcronym">
    <w:name w:val="HTML Acronym"/>
    <w:basedOn w:val="DefaultParagraphFont"/>
    <w:uiPriority w:val="99"/>
    <w:unhideWhenUsed/>
    <w:rsid w:val="00A145CE"/>
  </w:style>
  <w:style w:type="paragraph" w:styleId="NormalWeb">
    <w:name w:val="Normal (Web)"/>
    <w:basedOn w:val="Normal"/>
    <w:uiPriority w:val="99"/>
    <w:unhideWhenUsed/>
    <w:rsid w:val="00A145CE"/>
    <w:pPr>
      <w:widowControl/>
      <w:spacing w:before="100" w:beforeAutospacing="1"/>
    </w:pPr>
    <w:rPr>
      <w:rFonts w:ascii="Times New Roman" w:eastAsiaTheme="minorHAnsi" w:hAnsi="Times New Roman"/>
      <w:sz w:val="24"/>
      <w:lang w:val="en-AU" w:bidi="ar-SA"/>
    </w:rPr>
  </w:style>
  <w:style w:type="paragraph" w:styleId="PlainText">
    <w:name w:val="Plain Text"/>
    <w:basedOn w:val="Normal"/>
    <w:link w:val="PlainTextChar"/>
    <w:uiPriority w:val="99"/>
    <w:unhideWhenUsed/>
    <w:rsid w:val="00A145CE"/>
    <w:pPr>
      <w:widowControl/>
      <w:spacing w:before="100" w:beforeAutospacing="1"/>
    </w:pPr>
    <w:rPr>
      <w:rFonts w:ascii="Consolas" w:eastAsiaTheme="minorHAnsi" w:hAnsi="Consolas" w:cs="Consolas"/>
      <w:sz w:val="21"/>
      <w:szCs w:val="21"/>
      <w:lang w:val="en-AU" w:bidi="ar-SA"/>
    </w:rPr>
  </w:style>
  <w:style w:type="character" w:customStyle="1" w:styleId="PlainTextChar">
    <w:name w:val="Plain Text Char"/>
    <w:basedOn w:val="DefaultParagraphFont"/>
    <w:link w:val="PlainText"/>
    <w:uiPriority w:val="99"/>
    <w:rsid w:val="00A145CE"/>
    <w:rPr>
      <w:rFonts w:ascii="Consolas" w:eastAsiaTheme="minorHAnsi" w:hAnsi="Consolas" w:cs="Consolas"/>
      <w:sz w:val="21"/>
      <w:szCs w:val="21"/>
      <w:lang w:val="en-AU" w:eastAsia="en-US"/>
    </w:rPr>
  </w:style>
  <w:style w:type="paragraph" w:styleId="DocumentMap">
    <w:name w:val="Document Map"/>
    <w:basedOn w:val="Normal"/>
    <w:link w:val="DocumentMapChar"/>
    <w:uiPriority w:val="99"/>
    <w:unhideWhenUsed/>
    <w:rsid w:val="00A145CE"/>
    <w:pPr>
      <w:widowControl/>
      <w:spacing w:before="100" w:beforeAutospacing="1"/>
    </w:pPr>
    <w:rPr>
      <w:rFonts w:ascii="Tahoma" w:eastAsiaTheme="minorHAnsi" w:hAnsi="Tahoma" w:cs="Tahoma"/>
      <w:sz w:val="16"/>
      <w:szCs w:val="16"/>
      <w:lang w:val="en-AU" w:bidi="ar-SA"/>
    </w:rPr>
  </w:style>
  <w:style w:type="character" w:customStyle="1" w:styleId="DocumentMapChar">
    <w:name w:val="Document Map Char"/>
    <w:basedOn w:val="DefaultParagraphFont"/>
    <w:link w:val="DocumentMap"/>
    <w:uiPriority w:val="99"/>
    <w:rsid w:val="00A145CE"/>
    <w:rPr>
      <w:rFonts w:ascii="Tahoma" w:eastAsiaTheme="minorHAnsi" w:hAnsi="Tahoma" w:cs="Tahoma"/>
      <w:sz w:val="16"/>
      <w:szCs w:val="16"/>
      <w:lang w:val="en-AU" w:eastAsia="en-US"/>
    </w:rPr>
  </w:style>
  <w:style w:type="character" w:styleId="Strong">
    <w:name w:val="Strong"/>
    <w:basedOn w:val="DefaultParagraphFont"/>
    <w:uiPriority w:val="22"/>
    <w:rsid w:val="00A145CE"/>
    <w:rPr>
      <w:b/>
      <w:bCs/>
    </w:rPr>
  </w:style>
  <w:style w:type="paragraph" w:styleId="BlockText">
    <w:name w:val="Block Text"/>
    <w:basedOn w:val="Normal"/>
    <w:uiPriority w:val="99"/>
    <w:unhideWhenUsed/>
    <w:rsid w:val="00A145CE"/>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00" w:beforeAutospacing="1"/>
      <w:ind w:left="1152" w:right="1152"/>
    </w:pPr>
    <w:rPr>
      <w:rFonts w:asciiTheme="minorHAnsi" w:eastAsiaTheme="minorEastAsia" w:hAnsiTheme="minorHAnsi" w:cstheme="minorBidi"/>
      <w:i/>
      <w:iCs/>
      <w:color w:val="4F81BD" w:themeColor="accent1"/>
      <w:szCs w:val="22"/>
      <w:lang w:val="en-AU" w:bidi="ar-SA"/>
    </w:rPr>
  </w:style>
  <w:style w:type="paragraph" w:styleId="BodyTextIndent3">
    <w:name w:val="Body Text Indent 3"/>
    <w:basedOn w:val="Normal"/>
    <w:link w:val="BodyTextIndent3Char"/>
    <w:uiPriority w:val="99"/>
    <w:unhideWhenUsed/>
    <w:rsid w:val="00A145CE"/>
    <w:pPr>
      <w:widowControl/>
      <w:spacing w:before="100" w:beforeAutospacing="1" w:after="120"/>
      <w:ind w:left="283"/>
    </w:pPr>
    <w:rPr>
      <w:rFonts w:eastAsiaTheme="minorHAnsi" w:cstheme="minorBidi"/>
      <w:sz w:val="16"/>
      <w:szCs w:val="16"/>
      <w:lang w:val="en-AU" w:bidi="ar-SA"/>
    </w:rPr>
  </w:style>
  <w:style w:type="character" w:customStyle="1" w:styleId="BodyTextIndent3Char">
    <w:name w:val="Body Text Indent 3 Char"/>
    <w:basedOn w:val="DefaultParagraphFont"/>
    <w:link w:val="BodyTextIndent3"/>
    <w:uiPriority w:val="99"/>
    <w:rsid w:val="00A145CE"/>
    <w:rPr>
      <w:rFonts w:ascii="Arial" w:eastAsiaTheme="minorHAnsi" w:hAnsi="Arial" w:cstheme="minorBidi"/>
      <w:sz w:val="16"/>
      <w:szCs w:val="16"/>
      <w:lang w:val="en-AU" w:eastAsia="en-US"/>
    </w:rPr>
  </w:style>
  <w:style w:type="paragraph" w:styleId="BodyTextIndent2">
    <w:name w:val="Body Text Indent 2"/>
    <w:basedOn w:val="Normal"/>
    <w:link w:val="BodyTextIndent2Char"/>
    <w:uiPriority w:val="99"/>
    <w:unhideWhenUsed/>
    <w:rsid w:val="00A145CE"/>
    <w:pPr>
      <w:widowControl/>
      <w:spacing w:before="100" w:beforeAutospacing="1" w:after="120" w:line="480" w:lineRule="auto"/>
      <w:ind w:left="283"/>
    </w:pPr>
    <w:rPr>
      <w:rFonts w:eastAsiaTheme="minorHAnsi" w:cstheme="minorBidi"/>
      <w:szCs w:val="22"/>
      <w:lang w:val="en-AU" w:bidi="ar-SA"/>
    </w:rPr>
  </w:style>
  <w:style w:type="character" w:customStyle="1" w:styleId="BodyTextIndent2Char">
    <w:name w:val="Body Text Indent 2 Char"/>
    <w:basedOn w:val="DefaultParagraphFont"/>
    <w:link w:val="BodyTextIndent2"/>
    <w:uiPriority w:val="99"/>
    <w:rsid w:val="00A145CE"/>
    <w:rPr>
      <w:rFonts w:ascii="Arial" w:eastAsiaTheme="minorHAnsi" w:hAnsi="Arial" w:cstheme="minorBidi"/>
      <w:sz w:val="22"/>
      <w:szCs w:val="22"/>
      <w:lang w:val="en-AU" w:eastAsia="en-US"/>
    </w:rPr>
  </w:style>
  <w:style w:type="paragraph" w:styleId="BodyText3">
    <w:name w:val="Body Text 3"/>
    <w:basedOn w:val="Normal"/>
    <w:link w:val="BodyText3Char"/>
    <w:uiPriority w:val="99"/>
    <w:unhideWhenUsed/>
    <w:rsid w:val="00A145CE"/>
    <w:pPr>
      <w:widowControl/>
      <w:spacing w:before="100" w:beforeAutospacing="1" w:after="120"/>
    </w:pPr>
    <w:rPr>
      <w:rFonts w:eastAsiaTheme="minorHAnsi" w:cstheme="minorBidi"/>
      <w:sz w:val="16"/>
      <w:szCs w:val="16"/>
      <w:lang w:val="en-AU" w:bidi="ar-SA"/>
    </w:rPr>
  </w:style>
  <w:style w:type="character" w:customStyle="1" w:styleId="BodyText3Char">
    <w:name w:val="Body Text 3 Char"/>
    <w:basedOn w:val="DefaultParagraphFont"/>
    <w:link w:val="BodyText3"/>
    <w:uiPriority w:val="99"/>
    <w:rsid w:val="00A145CE"/>
    <w:rPr>
      <w:rFonts w:ascii="Arial" w:eastAsiaTheme="minorHAnsi" w:hAnsi="Arial" w:cstheme="minorBidi"/>
      <w:sz w:val="16"/>
      <w:szCs w:val="16"/>
      <w:lang w:val="en-AU" w:eastAsia="en-US"/>
    </w:rPr>
  </w:style>
  <w:style w:type="paragraph" w:styleId="BodyText2">
    <w:name w:val="Body Text 2"/>
    <w:basedOn w:val="Normal"/>
    <w:link w:val="BodyText2Char"/>
    <w:uiPriority w:val="99"/>
    <w:unhideWhenUsed/>
    <w:rsid w:val="00A145CE"/>
    <w:pPr>
      <w:widowControl/>
      <w:spacing w:before="100" w:beforeAutospacing="1" w:after="120" w:line="480" w:lineRule="auto"/>
    </w:pPr>
    <w:rPr>
      <w:rFonts w:eastAsiaTheme="minorHAnsi" w:cstheme="minorBidi"/>
      <w:szCs w:val="22"/>
      <w:lang w:val="en-AU" w:bidi="ar-SA"/>
    </w:rPr>
  </w:style>
  <w:style w:type="character" w:customStyle="1" w:styleId="BodyText2Char">
    <w:name w:val="Body Text 2 Char"/>
    <w:basedOn w:val="DefaultParagraphFont"/>
    <w:link w:val="BodyText2"/>
    <w:uiPriority w:val="99"/>
    <w:rsid w:val="00A145CE"/>
    <w:rPr>
      <w:rFonts w:ascii="Arial" w:eastAsiaTheme="minorHAnsi" w:hAnsi="Arial" w:cstheme="minorBidi"/>
      <w:sz w:val="22"/>
      <w:szCs w:val="22"/>
      <w:lang w:val="en-AU" w:eastAsia="en-US"/>
    </w:rPr>
  </w:style>
  <w:style w:type="paragraph" w:styleId="NoteHeading">
    <w:name w:val="Note Heading"/>
    <w:basedOn w:val="Normal"/>
    <w:next w:val="Normal"/>
    <w:link w:val="NoteHeadingChar"/>
    <w:uiPriority w:val="99"/>
    <w:unhideWhenUsed/>
    <w:rsid w:val="00A145CE"/>
    <w:pPr>
      <w:widowControl/>
      <w:spacing w:before="100" w:beforeAutospacing="1"/>
    </w:pPr>
    <w:rPr>
      <w:rFonts w:eastAsiaTheme="minorHAnsi" w:cstheme="minorBidi"/>
      <w:szCs w:val="22"/>
      <w:lang w:val="en-AU" w:bidi="ar-SA"/>
    </w:rPr>
  </w:style>
  <w:style w:type="character" w:customStyle="1" w:styleId="NoteHeadingChar">
    <w:name w:val="Note Heading Char"/>
    <w:basedOn w:val="DefaultParagraphFont"/>
    <w:link w:val="NoteHeading"/>
    <w:uiPriority w:val="99"/>
    <w:rsid w:val="00A145CE"/>
    <w:rPr>
      <w:rFonts w:ascii="Arial" w:eastAsiaTheme="minorHAnsi" w:hAnsi="Arial" w:cstheme="minorBidi"/>
      <w:sz w:val="22"/>
      <w:szCs w:val="22"/>
      <w:lang w:val="en-AU" w:eastAsia="en-US"/>
    </w:rPr>
  </w:style>
  <w:style w:type="paragraph" w:styleId="BodyTextIndent">
    <w:name w:val="Body Text Indent"/>
    <w:basedOn w:val="Normal"/>
    <w:link w:val="BodyTextIndentChar"/>
    <w:uiPriority w:val="99"/>
    <w:unhideWhenUsed/>
    <w:rsid w:val="00A145CE"/>
    <w:pPr>
      <w:widowControl/>
      <w:spacing w:before="100" w:beforeAutospacing="1" w:after="120"/>
      <w:ind w:left="283"/>
    </w:pPr>
    <w:rPr>
      <w:rFonts w:eastAsiaTheme="minorHAnsi" w:cstheme="minorBidi"/>
      <w:szCs w:val="22"/>
      <w:lang w:val="en-AU" w:bidi="ar-SA"/>
    </w:rPr>
  </w:style>
  <w:style w:type="character" w:customStyle="1" w:styleId="BodyTextIndentChar">
    <w:name w:val="Body Text Indent Char"/>
    <w:basedOn w:val="DefaultParagraphFont"/>
    <w:link w:val="BodyTextIndent"/>
    <w:uiPriority w:val="99"/>
    <w:rsid w:val="00A145CE"/>
    <w:rPr>
      <w:rFonts w:ascii="Arial" w:eastAsiaTheme="minorHAnsi" w:hAnsi="Arial" w:cstheme="minorBidi"/>
      <w:sz w:val="22"/>
      <w:szCs w:val="22"/>
      <w:lang w:val="en-AU" w:eastAsia="en-US"/>
    </w:rPr>
  </w:style>
  <w:style w:type="paragraph" w:styleId="BodyTextFirstIndent2">
    <w:name w:val="Body Text First Indent 2"/>
    <w:basedOn w:val="BodyTextIndent"/>
    <w:link w:val="BodyTextFirstIndent2Char"/>
    <w:uiPriority w:val="99"/>
    <w:unhideWhenUsed/>
    <w:rsid w:val="00A145CE"/>
    <w:pPr>
      <w:spacing w:after="0"/>
      <w:ind w:left="360" w:firstLine="360"/>
    </w:pPr>
  </w:style>
  <w:style w:type="character" w:customStyle="1" w:styleId="BodyTextFirstIndent2Char">
    <w:name w:val="Body Text First Indent 2 Char"/>
    <w:basedOn w:val="BodyTextIndentChar"/>
    <w:link w:val="BodyTextFirstIndent2"/>
    <w:uiPriority w:val="99"/>
    <w:rsid w:val="00A145CE"/>
    <w:rPr>
      <w:rFonts w:ascii="Arial" w:eastAsiaTheme="minorHAnsi" w:hAnsi="Arial" w:cstheme="minorBidi"/>
      <w:sz w:val="22"/>
      <w:szCs w:val="22"/>
      <w:lang w:val="en-AU" w:eastAsia="en-US"/>
    </w:rPr>
  </w:style>
  <w:style w:type="paragraph" w:styleId="BodyText">
    <w:name w:val="Body Text"/>
    <w:basedOn w:val="Normal"/>
    <w:link w:val="BodyTextChar"/>
    <w:uiPriority w:val="99"/>
    <w:unhideWhenUsed/>
    <w:rsid w:val="00A145CE"/>
    <w:pPr>
      <w:widowControl/>
      <w:spacing w:before="100" w:beforeAutospacing="1" w:after="120"/>
    </w:pPr>
    <w:rPr>
      <w:rFonts w:eastAsiaTheme="minorHAnsi" w:cstheme="minorBidi"/>
      <w:szCs w:val="22"/>
      <w:lang w:val="en-AU" w:bidi="ar-SA"/>
    </w:rPr>
  </w:style>
  <w:style w:type="character" w:customStyle="1" w:styleId="BodyTextChar">
    <w:name w:val="Body Text Char"/>
    <w:basedOn w:val="DefaultParagraphFont"/>
    <w:link w:val="BodyText"/>
    <w:uiPriority w:val="99"/>
    <w:rsid w:val="00A145CE"/>
    <w:rPr>
      <w:rFonts w:ascii="Arial" w:eastAsiaTheme="minorHAnsi" w:hAnsi="Arial" w:cstheme="minorBidi"/>
      <w:sz w:val="22"/>
      <w:szCs w:val="22"/>
      <w:lang w:val="en-AU" w:eastAsia="en-US"/>
    </w:rPr>
  </w:style>
  <w:style w:type="paragraph" w:styleId="BodyTextFirstIndent">
    <w:name w:val="Body Text First Indent"/>
    <w:basedOn w:val="BodyText"/>
    <w:link w:val="BodyTextFirstIndentChar"/>
    <w:uiPriority w:val="99"/>
    <w:unhideWhenUsed/>
    <w:rsid w:val="00A145CE"/>
    <w:pPr>
      <w:spacing w:after="0"/>
      <w:ind w:firstLine="360"/>
    </w:pPr>
  </w:style>
  <w:style w:type="character" w:customStyle="1" w:styleId="BodyTextFirstIndentChar">
    <w:name w:val="Body Text First Indent Char"/>
    <w:basedOn w:val="BodyTextChar"/>
    <w:link w:val="BodyTextFirstIndent"/>
    <w:uiPriority w:val="99"/>
    <w:rsid w:val="00A145CE"/>
    <w:rPr>
      <w:rFonts w:ascii="Arial" w:eastAsiaTheme="minorHAnsi" w:hAnsi="Arial" w:cstheme="minorBidi"/>
      <w:sz w:val="22"/>
      <w:szCs w:val="22"/>
      <w:lang w:val="en-AU" w:eastAsia="en-US"/>
    </w:rPr>
  </w:style>
  <w:style w:type="paragraph" w:styleId="Date">
    <w:name w:val="Date"/>
    <w:basedOn w:val="Normal"/>
    <w:next w:val="Normal"/>
    <w:link w:val="DateChar"/>
    <w:uiPriority w:val="99"/>
    <w:unhideWhenUsed/>
    <w:rsid w:val="00A145CE"/>
    <w:pPr>
      <w:widowControl/>
      <w:spacing w:before="100" w:beforeAutospacing="1"/>
    </w:pPr>
    <w:rPr>
      <w:rFonts w:eastAsiaTheme="minorHAnsi" w:cstheme="minorBidi"/>
      <w:szCs w:val="22"/>
      <w:lang w:val="en-AU" w:bidi="ar-SA"/>
    </w:rPr>
  </w:style>
  <w:style w:type="character" w:customStyle="1" w:styleId="DateChar">
    <w:name w:val="Date Char"/>
    <w:basedOn w:val="DefaultParagraphFont"/>
    <w:link w:val="Date"/>
    <w:uiPriority w:val="99"/>
    <w:rsid w:val="00A145CE"/>
    <w:rPr>
      <w:rFonts w:ascii="Arial" w:eastAsiaTheme="minorHAnsi" w:hAnsi="Arial" w:cstheme="minorBidi"/>
      <w:sz w:val="22"/>
      <w:szCs w:val="22"/>
      <w:lang w:val="en-AU" w:eastAsia="en-US"/>
    </w:rPr>
  </w:style>
  <w:style w:type="paragraph" w:styleId="Salutation">
    <w:name w:val="Salutation"/>
    <w:basedOn w:val="Normal"/>
    <w:next w:val="Normal"/>
    <w:link w:val="SalutationChar"/>
    <w:uiPriority w:val="99"/>
    <w:unhideWhenUsed/>
    <w:rsid w:val="00A145CE"/>
    <w:pPr>
      <w:widowControl/>
      <w:spacing w:before="100" w:beforeAutospacing="1"/>
    </w:pPr>
    <w:rPr>
      <w:rFonts w:eastAsiaTheme="minorHAnsi" w:cstheme="minorBidi"/>
      <w:szCs w:val="22"/>
      <w:lang w:val="en-AU" w:bidi="ar-SA"/>
    </w:rPr>
  </w:style>
  <w:style w:type="character" w:customStyle="1" w:styleId="SalutationChar">
    <w:name w:val="Salutation Char"/>
    <w:basedOn w:val="DefaultParagraphFont"/>
    <w:link w:val="Salutation"/>
    <w:uiPriority w:val="99"/>
    <w:rsid w:val="00A145CE"/>
    <w:rPr>
      <w:rFonts w:ascii="Arial" w:eastAsiaTheme="minorHAnsi" w:hAnsi="Arial" w:cstheme="minorBidi"/>
      <w:sz w:val="22"/>
      <w:szCs w:val="22"/>
      <w:lang w:val="en-AU" w:eastAsia="en-US"/>
    </w:rPr>
  </w:style>
  <w:style w:type="paragraph" w:styleId="MessageHeader">
    <w:name w:val="Message Header"/>
    <w:basedOn w:val="Normal"/>
    <w:link w:val="MessageHeaderChar"/>
    <w:uiPriority w:val="99"/>
    <w:unhideWhenUsed/>
    <w:rsid w:val="00A145CE"/>
    <w:pPr>
      <w:widowControl/>
      <w:pBdr>
        <w:top w:val="single" w:sz="6" w:space="1" w:color="auto"/>
        <w:left w:val="single" w:sz="6" w:space="1" w:color="auto"/>
        <w:bottom w:val="single" w:sz="6" w:space="1" w:color="auto"/>
        <w:right w:val="single" w:sz="6" w:space="1" w:color="auto"/>
      </w:pBdr>
      <w:shd w:val="pct20" w:color="auto" w:fill="auto"/>
      <w:spacing w:before="100" w:beforeAutospacing="1"/>
      <w:ind w:left="1134" w:hanging="1134"/>
    </w:pPr>
    <w:rPr>
      <w:rFonts w:asciiTheme="majorHAnsi" w:eastAsiaTheme="majorEastAsia" w:hAnsiTheme="majorHAnsi" w:cstheme="majorBidi"/>
      <w:sz w:val="24"/>
      <w:lang w:val="en-AU" w:bidi="ar-SA"/>
    </w:rPr>
  </w:style>
  <w:style w:type="character" w:customStyle="1" w:styleId="MessageHeaderChar">
    <w:name w:val="Message Header Char"/>
    <w:basedOn w:val="DefaultParagraphFont"/>
    <w:link w:val="MessageHeader"/>
    <w:uiPriority w:val="99"/>
    <w:rsid w:val="00A145CE"/>
    <w:rPr>
      <w:rFonts w:asciiTheme="majorHAnsi" w:eastAsiaTheme="majorEastAsia" w:hAnsiTheme="majorHAnsi" w:cstheme="majorBidi"/>
      <w:sz w:val="24"/>
      <w:szCs w:val="24"/>
      <w:shd w:val="pct20" w:color="auto" w:fill="auto"/>
      <w:lang w:val="en-AU" w:eastAsia="en-US"/>
    </w:rPr>
  </w:style>
  <w:style w:type="paragraph" w:styleId="ListContinue5">
    <w:name w:val="List Continue 5"/>
    <w:basedOn w:val="Normal"/>
    <w:uiPriority w:val="99"/>
    <w:unhideWhenUsed/>
    <w:rsid w:val="00A145CE"/>
    <w:pPr>
      <w:widowControl/>
      <w:spacing w:before="100" w:beforeAutospacing="1" w:after="120"/>
      <w:ind w:left="1415"/>
      <w:contextualSpacing/>
    </w:pPr>
    <w:rPr>
      <w:rFonts w:eastAsiaTheme="minorHAnsi" w:cstheme="minorBidi"/>
      <w:szCs w:val="22"/>
      <w:lang w:val="en-AU" w:bidi="ar-SA"/>
    </w:rPr>
  </w:style>
  <w:style w:type="paragraph" w:styleId="ListContinue4">
    <w:name w:val="List Continue 4"/>
    <w:basedOn w:val="Normal"/>
    <w:uiPriority w:val="99"/>
    <w:unhideWhenUsed/>
    <w:rsid w:val="00A145CE"/>
    <w:pPr>
      <w:widowControl/>
      <w:spacing w:before="100" w:beforeAutospacing="1" w:after="120"/>
      <w:ind w:left="1132"/>
      <w:contextualSpacing/>
    </w:pPr>
    <w:rPr>
      <w:rFonts w:eastAsiaTheme="minorHAnsi" w:cstheme="minorBidi"/>
      <w:szCs w:val="22"/>
      <w:lang w:val="en-AU" w:bidi="ar-SA"/>
    </w:rPr>
  </w:style>
  <w:style w:type="paragraph" w:styleId="ListContinue3">
    <w:name w:val="List Continue 3"/>
    <w:basedOn w:val="Normal"/>
    <w:uiPriority w:val="99"/>
    <w:unhideWhenUsed/>
    <w:rsid w:val="00A145CE"/>
    <w:pPr>
      <w:widowControl/>
      <w:spacing w:before="100" w:beforeAutospacing="1" w:after="120"/>
      <w:ind w:left="849"/>
      <w:contextualSpacing/>
    </w:pPr>
    <w:rPr>
      <w:rFonts w:eastAsiaTheme="minorHAnsi" w:cstheme="minorBidi"/>
      <w:szCs w:val="22"/>
      <w:lang w:val="en-AU" w:bidi="ar-SA"/>
    </w:rPr>
  </w:style>
  <w:style w:type="paragraph" w:styleId="ListContinue2">
    <w:name w:val="List Continue 2"/>
    <w:basedOn w:val="Normal"/>
    <w:uiPriority w:val="99"/>
    <w:unhideWhenUsed/>
    <w:rsid w:val="00A145CE"/>
    <w:pPr>
      <w:widowControl/>
      <w:spacing w:before="100" w:beforeAutospacing="1" w:after="120"/>
      <w:ind w:left="566"/>
      <w:contextualSpacing/>
    </w:pPr>
    <w:rPr>
      <w:rFonts w:eastAsiaTheme="minorHAnsi" w:cstheme="minorBidi"/>
      <w:szCs w:val="22"/>
      <w:lang w:val="en-AU" w:bidi="ar-SA"/>
    </w:rPr>
  </w:style>
  <w:style w:type="paragraph" w:styleId="ListContinue">
    <w:name w:val="List Continue"/>
    <w:basedOn w:val="Normal"/>
    <w:uiPriority w:val="99"/>
    <w:unhideWhenUsed/>
    <w:rsid w:val="00A145CE"/>
    <w:pPr>
      <w:widowControl/>
      <w:spacing w:before="100" w:beforeAutospacing="1" w:after="120"/>
      <w:ind w:left="283"/>
      <w:contextualSpacing/>
    </w:pPr>
    <w:rPr>
      <w:rFonts w:eastAsiaTheme="minorHAnsi" w:cstheme="minorBidi"/>
      <w:szCs w:val="22"/>
      <w:lang w:val="en-AU" w:bidi="ar-SA"/>
    </w:rPr>
  </w:style>
  <w:style w:type="paragraph" w:styleId="Closing">
    <w:name w:val="Closing"/>
    <w:basedOn w:val="Normal"/>
    <w:link w:val="ClosingChar"/>
    <w:uiPriority w:val="99"/>
    <w:unhideWhenUsed/>
    <w:rsid w:val="00A145CE"/>
    <w:pPr>
      <w:widowControl/>
      <w:spacing w:before="100" w:beforeAutospacing="1"/>
      <w:ind w:left="4252"/>
    </w:pPr>
    <w:rPr>
      <w:rFonts w:eastAsiaTheme="minorHAnsi" w:cstheme="minorBidi"/>
      <w:szCs w:val="22"/>
      <w:lang w:val="en-AU" w:bidi="ar-SA"/>
    </w:rPr>
  </w:style>
  <w:style w:type="character" w:customStyle="1" w:styleId="ClosingChar">
    <w:name w:val="Closing Char"/>
    <w:basedOn w:val="DefaultParagraphFont"/>
    <w:link w:val="Closing"/>
    <w:uiPriority w:val="99"/>
    <w:rsid w:val="00A145CE"/>
    <w:rPr>
      <w:rFonts w:ascii="Arial" w:eastAsiaTheme="minorHAnsi" w:hAnsi="Arial" w:cstheme="minorBidi"/>
      <w:sz w:val="22"/>
      <w:szCs w:val="22"/>
      <w:lang w:val="en-AU" w:eastAsia="en-US"/>
    </w:rPr>
  </w:style>
  <w:style w:type="paragraph" w:styleId="ListNumber5">
    <w:name w:val="List Number 5"/>
    <w:basedOn w:val="Normal"/>
    <w:uiPriority w:val="99"/>
    <w:unhideWhenUsed/>
    <w:rsid w:val="00A145CE"/>
    <w:pPr>
      <w:widowControl/>
      <w:numPr>
        <w:numId w:val="7"/>
      </w:numPr>
      <w:spacing w:before="100" w:beforeAutospacing="1"/>
      <w:contextualSpacing/>
    </w:pPr>
    <w:rPr>
      <w:rFonts w:eastAsiaTheme="minorHAnsi" w:cstheme="minorBidi"/>
      <w:szCs w:val="22"/>
      <w:lang w:val="en-AU" w:bidi="ar-SA"/>
    </w:rPr>
  </w:style>
  <w:style w:type="paragraph" w:styleId="ListNumber4">
    <w:name w:val="List Number 4"/>
    <w:basedOn w:val="Normal"/>
    <w:uiPriority w:val="99"/>
    <w:unhideWhenUsed/>
    <w:rsid w:val="00A145CE"/>
    <w:pPr>
      <w:widowControl/>
      <w:numPr>
        <w:numId w:val="8"/>
      </w:numPr>
      <w:spacing w:before="100" w:beforeAutospacing="1"/>
      <w:contextualSpacing/>
    </w:pPr>
    <w:rPr>
      <w:rFonts w:eastAsiaTheme="minorHAnsi" w:cstheme="minorBidi"/>
      <w:szCs w:val="22"/>
      <w:lang w:val="en-AU" w:bidi="ar-SA"/>
    </w:rPr>
  </w:style>
  <w:style w:type="paragraph" w:styleId="ListNumber3">
    <w:name w:val="List Number 3"/>
    <w:basedOn w:val="Normal"/>
    <w:uiPriority w:val="99"/>
    <w:unhideWhenUsed/>
    <w:rsid w:val="00A145CE"/>
    <w:pPr>
      <w:widowControl/>
      <w:numPr>
        <w:numId w:val="9"/>
      </w:numPr>
      <w:spacing w:before="100" w:beforeAutospacing="1"/>
      <w:contextualSpacing/>
    </w:pPr>
    <w:rPr>
      <w:rFonts w:eastAsiaTheme="minorHAnsi" w:cstheme="minorBidi"/>
      <w:szCs w:val="22"/>
      <w:lang w:val="en-AU" w:bidi="ar-SA"/>
    </w:rPr>
  </w:style>
  <w:style w:type="paragraph" w:styleId="ListNumber2">
    <w:name w:val="List Number 2"/>
    <w:basedOn w:val="Normal"/>
    <w:uiPriority w:val="99"/>
    <w:unhideWhenUsed/>
    <w:rsid w:val="00A145CE"/>
    <w:pPr>
      <w:widowControl/>
      <w:numPr>
        <w:numId w:val="10"/>
      </w:numPr>
      <w:spacing w:before="100" w:beforeAutospacing="1"/>
      <w:contextualSpacing/>
    </w:pPr>
    <w:rPr>
      <w:rFonts w:eastAsiaTheme="minorHAnsi" w:cstheme="minorBidi"/>
      <w:szCs w:val="22"/>
      <w:lang w:val="en-AU" w:bidi="ar-SA"/>
    </w:rPr>
  </w:style>
  <w:style w:type="paragraph" w:styleId="ListBullet5">
    <w:name w:val="List Bullet 5"/>
    <w:basedOn w:val="Normal"/>
    <w:uiPriority w:val="99"/>
    <w:unhideWhenUsed/>
    <w:rsid w:val="00A145CE"/>
    <w:pPr>
      <w:widowControl/>
      <w:numPr>
        <w:numId w:val="11"/>
      </w:numPr>
      <w:spacing w:before="100" w:beforeAutospacing="1"/>
      <w:contextualSpacing/>
    </w:pPr>
    <w:rPr>
      <w:rFonts w:eastAsiaTheme="minorHAnsi" w:cstheme="minorBidi"/>
      <w:szCs w:val="22"/>
      <w:lang w:val="en-AU" w:bidi="ar-SA"/>
    </w:rPr>
  </w:style>
  <w:style w:type="paragraph" w:styleId="ListBullet4">
    <w:name w:val="List Bullet 4"/>
    <w:basedOn w:val="Normal"/>
    <w:uiPriority w:val="99"/>
    <w:unhideWhenUsed/>
    <w:rsid w:val="00A145CE"/>
    <w:pPr>
      <w:widowControl/>
      <w:numPr>
        <w:numId w:val="12"/>
      </w:numPr>
      <w:spacing w:before="100" w:beforeAutospacing="1"/>
      <w:contextualSpacing/>
    </w:pPr>
    <w:rPr>
      <w:rFonts w:eastAsiaTheme="minorHAnsi" w:cstheme="minorBidi"/>
      <w:szCs w:val="22"/>
      <w:lang w:val="en-AU" w:bidi="ar-SA"/>
    </w:rPr>
  </w:style>
  <w:style w:type="paragraph" w:styleId="ListBullet3">
    <w:name w:val="List Bullet 3"/>
    <w:basedOn w:val="Normal"/>
    <w:uiPriority w:val="99"/>
    <w:unhideWhenUsed/>
    <w:rsid w:val="00A145CE"/>
    <w:pPr>
      <w:widowControl/>
      <w:numPr>
        <w:numId w:val="13"/>
      </w:numPr>
      <w:spacing w:before="100" w:beforeAutospacing="1"/>
      <w:contextualSpacing/>
    </w:pPr>
    <w:rPr>
      <w:rFonts w:eastAsiaTheme="minorHAnsi" w:cstheme="minorBidi"/>
      <w:szCs w:val="22"/>
      <w:lang w:val="en-AU" w:bidi="ar-SA"/>
    </w:rPr>
  </w:style>
  <w:style w:type="paragraph" w:styleId="ListBullet2">
    <w:name w:val="List Bullet 2"/>
    <w:basedOn w:val="Normal"/>
    <w:uiPriority w:val="99"/>
    <w:unhideWhenUsed/>
    <w:rsid w:val="00A145CE"/>
    <w:pPr>
      <w:widowControl/>
      <w:numPr>
        <w:numId w:val="14"/>
      </w:numPr>
      <w:spacing w:before="100" w:beforeAutospacing="1"/>
      <w:contextualSpacing/>
    </w:pPr>
    <w:rPr>
      <w:rFonts w:eastAsiaTheme="minorHAnsi" w:cstheme="minorBidi"/>
      <w:szCs w:val="22"/>
      <w:lang w:val="en-AU" w:bidi="ar-SA"/>
    </w:rPr>
  </w:style>
  <w:style w:type="paragraph" w:styleId="List5">
    <w:name w:val="List 5"/>
    <w:basedOn w:val="Normal"/>
    <w:uiPriority w:val="99"/>
    <w:unhideWhenUsed/>
    <w:rsid w:val="00A145CE"/>
    <w:pPr>
      <w:widowControl/>
      <w:spacing w:before="100" w:beforeAutospacing="1"/>
      <w:ind w:left="1415" w:hanging="283"/>
      <w:contextualSpacing/>
    </w:pPr>
    <w:rPr>
      <w:rFonts w:eastAsiaTheme="minorHAnsi" w:cstheme="minorBidi"/>
      <w:szCs w:val="22"/>
      <w:lang w:val="en-AU" w:bidi="ar-SA"/>
    </w:rPr>
  </w:style>
  <w:style w:type="paragraph" w:styleId="List4">
    <w:name w:val="List 4"/>
    <w:basedOn w:val="Normal"/>
    <w:uiPriority w:val="99"/>
    <w:unhideWhenUsed/>
    <w:rsid w:val="00A145CE"/>
    <w:pPr>
      <w:widowControl/>
      <w:spacing w:before="100" w:beforeAutospacing="1"/>
      <w:ind w:left="1132" w:hanging="283"/>
      <w:contextualSpacing/>
    </w:pPr>
    <w:rPr>
      <w:rFonts w:eastAsiaTheme="minorHAnsi" w:cstheme="minorBidi"/>
      <w:szCs w:val="22"/>
      <w:lang w:val="en-AU" w:bidi="ar-SA"/>
    </w:rPr>
  </w:style>
  <w:style w:type="paragraph" w:styleId="List3">
    <w:name w:val="List 3"/>
    <w:basedOn w:val="Normal"/>
    <w:uiPriority w:val="99"/>
    <w:unhideWhenUsed/>
    <w:rsid w:val="00A145CE"/>
    <w:pPr>
      <w:widowControl/>
      <w:spacing w:before="100" w:beforeAutospacing="1"/>
      <w:ind w:left="849" w:hanging="283"/>
      <w:contextualSpacing/>
    </w:pPr>
    <w:rPr>
      <w:rFonts w:eastAsiaTheme="minorHAnsi" w:cstheme="minorBidi"/>
      <w:szCs w:val="22"/>
      <w:lang w:val="en-AU" w:bidi="ar-SA"/>
    </w:rPr>
  </w:style>
  <w:style w:type="paragraph" w:styleId="List2">
    <w:name w:val="List 2"/>
    <w:basedOn w:val="Normal"/>
    <w:uiPriority w:val="99"/>
    <w:unhideWhenUsed/>
    <w:rsid w:val="00A145CE"/>
    <w:pPr>
      <w:widowControl/>
      <w:spacing w:before="100" w:beforeAutospacing="1"/>
      <w:ind w:left="566" w:hanging="283"/>
      <w:contextualSpacing/>
    </w:pPr>
    <w:rPr>
      <w:rFonts w:eastAsiaTheme="minorHAnsi" w:cstheme="minorBidi"/>
      <w:szCs w:val="22"/>
      <w:lang w:val="en-AU" w:bidi="ar-SA"/>
    </w:rPr>
  </w:style>
  <w:style w:type="paragraph" w:styleId="ListNumber">
    <w:name w:val="List Number"/>
    <w:basedOn w:val="Normal"/>
    <w:uiPriority w:val="99"/>
    <w:unhideWhenUsed/>
    <w:rsid w:val="00A145CE"/>
    <w:pPr>
      <w:widowControl/>
      <w:numPr>
        <w:numId w:val="15"/>
      </w:numPr>
      <w:spacing w:before="100" w:beforeAutospacing="1"/>
      <w:contextualSpacing/>
    </w:pPr>
    <w:rPr>
      <w:rFonts w:eastAsiaTheme="minorHAnsi" w:cstheme="minorBidi"/>
      <w:szCs w:val="22"/>
      <w:lang w:val="en-AU" w:bidi="ar-SA"/>
    </w:rPr>
  </w:style>
  <w:style w:type="paragraph" w:styleId="ListBullet">
    <w:name w:val="List Bullet"/>
    <w:basedOn w:val="Normal"/>
    <w:uiPriority w:val="99"/>
    <w:unhideWhenUsed/>
    <w:rsid w:val="00A145CE"/>
    <w:pPr>
      <w:widowControl/>
      <w:numPr>
        <w:numId w:val="16"/>
      </w:numPr>
      <w:spacing w:before="100" w:beforeAutospacing="1"/>
      <w:contextualSpacing/>
    </w:pPr>
    <w:rPr>
      <w:rFonts w:eastAsiaTheme="minorHAnsi" w:cstheme="minorBidi"/>
      <w:szCs w:val="22"/>
      <w:lang w:val="en-AU" w:bidi="ar-SA"/>
    </w:rPr>
  </w:style>
  <w:style w:type="paragraph" w:styleId="List">
    <w:name w:val="List"/>
    <w:basedOn w:val="Normal"/>
    <w:uiPriority w:val="99"/>
    <w:unhideWhenUsed/>
    <w:rsid w:val="00A145CE"/>
    <w:pPr>
      <w:widowControl/>
      <w:spacing w:before="100" w:beforeAutospacing="1"/>
      <w:ind w:left="283" w:hanging="283"/>
      <w:contextualSpacing/>
    </w:pPr>
    <w:rPr>
      <w:rFonts w:eastAsiaTheme="minorHAnsi" w:cstheme="minorBidi"/>
      <w:szCs w:val="22"/>
      <w:lang w:val="en-AU" w:bidi="ar-SA"/>
    </w:rPr>
  </w:style>
  <w:style w:type="paragraph" w:styleId="TOAHeading">
    <w:name w:val="toa heading"/>
    <w:basedOn w:val="Normal"/>
    <w:next w:val="Normal"/>
    <w:uiPriority w:val="99"/>
    <w:unhideWhenUsed/>
    <w:rsid w:val="00A145CE"/>
    <w:pPr>
      <w:widowControl/>
      <w:spacing w:before="120" w:beforeAutospacing="1"/>
    </w:pPr>
    <w:rPr>
      <w:rFonts w:asciiTheme="majorHAnsi" w:eastAsiaTheme="majorEastAsia" w:hAnsiTheme="majorHAnsi" w:cstheme="majorBidi"/>
      <w:b/>
      <w:bCs/>
      <w:sz w:val="24"/>
      <w:lang w:val="en-AU" w:bidi="ar-SA"/>
    </w:rPr>
  </w:style>
  <w:style w:type="paragraph" w:styleId="MacroText">
    <w:name w:val="macro"/>
    <w:link w:val="MacroTextChar"/>
    <w:uiPriority w:val="99"/>
    <w:unhideWhenUsed/>
    <w:rsid w:val="00A145C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eastAsia="en-US"/>
    </w:rPr>
  </w:style>
  <w:style w:type="character" w:customStyle="1" w:styleId="MacroTextChar">
    <w:name w:val="Macro Text Char"/>
    <w:basedOn w:val="DefaultParagraphFont"/>
    <w:link w:val="MacroText"/>
    <w:uiPriority w:val="99"/>
    <w:rsid w:val="00A145CE"/>
    <w:rPr>
      <w:rFonts w:ascii="Consolas" w:eastAsiaTheme="minorHAnsi" w:hAnsi="Consolas" w:cs="Consolas"/>
      <w:lang w:eastAsia="en-US"/>
    </w:rPr>
  </w:style>
  <w:style w:type="paragraph" w:styleId="TableofAuthorities">
    <w:name w:val="table of authorities"/>
    <w:basedOn w:val="Normal"/>
    <w:next w:val="Normal"/>
    <w:uiPriority w:val="99"/>
    <w:unhideWhenUsed/>
    <w:rsid w:val="00A145CE"/>
    <w:pPr>
      <w:widowControl/>
      <w:spacing w:before="100" w:beforeAutospacing="1"/>
      <w:ind w:left="220" w:hanging="220"/>
    </w:pPr>
    <w:rPr>
      <w:rFonts w:eastAsiaTheme="minorHAnsi" w:cstheme="minorBidi"/>
      <w:szCs w:val="22"/>
      <w:lang w:val="en-AU" w:bidi="ar-SA"/>
    </w:rPr>
  </w:style>
  <w:style w:type="character" w:styleId="LineNumber">
    <w:name w:val="line number"/>
    <w:basedOn w:val="DefaultParagraphFont"/>
    <w:uiPriority w:val="99"/>
    <w:unhideWhenUsed/>
    <w:rsid w:val="00A145CE"/>
  </w:style>
  <w:style w:type="paragraph" w:styleId="EnvelopeReturn">
    <w:name w:val="envelope return"/>
    <w:basedOn w:val="Normal"/>
    <w:uiPriority w:val="99"/>
    <w:unhideWhenUsed/>
    <w:rsid w:val="00A145CE"/>
    <w:pPr>
      <w:widowControl/>
      <w:spacing w:before="100" w:beforeAutospacing="1"/>
    </w:pPr>
    <w:rPr>
      <w:rFonts w:asciiTheme="majorHAnsi" w:eastAsiaTheme="majorEastAsia" w:hAnsiTheme="majorHAnsi" w:cstheme="majorBidi"/>
      <w:sz w:val="20"/>
      <w:szCs w:val="20"/>
      <w:lang w:val="en-AU" w:bidi="ar-SA"/>
    </w:rPr>
  </w:style>
  <w:style w:type="paragraph" w:styleId="EnvelopeAddress">
    <w:name w:val="envelope address"/>
    <w:basedOn w:val="Normal"/>
    <w:uiPriority w:val="99"/>
    <w:unhideWhenUsed/>
    <w:rsid w:val="00A145CE"/>
    <w:pPr>
      <w:framePr w:w="7920" w:h="1980" w:hRule="exact" w:hSpace="180" w:wrap="auto" w:hAnchor="page" w:xAlign="center" w:yAlign="bottom"/>
      <w:widowControl/>
      <w:spacing w:before="100" w:beforeAutospacing="1"/>
      <w:ind w:left="2880"/>
    </w:pPr>
    <w:rPr>
      <w:rFonts w:asciiTheme="majorHAnsi" w:eastAsiaTheme="majorEastAsia" w:hAnsiTheme="majorHAnsi" w:cstheme="majorBidi"/>
      <w:sz w:val="24"/>
      <w:lang w:val="en-AU" w:bidi="ar-SA"/>
    </w:rPr>
  </w:style>
  <w:style w:type="paragraph" w:styleId="TableofFigures">
    <w:name w:val="table of figures"/>
    <w:basedOn w:val="Normal"/>
    <w:next w:val="Normal"/>
    <w:uiPriority w:val="99"/>
    <w:unhideWhenUsed/>
    <w:rsid w:val="00A145CE"/>
    <w:pPr>
      <w:widowControl/>
      <w:spacing w:before="100" w:beforeAutospacing="1"/>
    </w:pPr>
    <w:rPr>
      <w:rFonts w:eastAsiaTheme="minorHAnsi" w:cstheme="minorBidi"/>
      <w:szCs w:val="22"/>
      <w:lang w:val="en-AU" w:bidi="ar-SA"/>
    </w:rPr>
  </w:style>
  <w:style w:type="paragraph" w:styleId="Index1">
    <w:name w:val="index 1"/>
    <w:basedOn w:val="Normal"/>
    <w:next w:val="Normal"/>
    <w:autoRedefine/>
    <w:uiPriority w:val="99"/>
    <w:unhideWhenUsed/>
    <w:rsid w:val="00A145CE"/>
    <w:pPr>
      <w:widowControl/>
      <w:spacing w:before="100" w:beforeAutospacing="1"/>
      <w:ind w:left="220" w:hanging="220"/>
    </w:pPr>
    <w:rPr>
      <w:rFonts w:eastAsiaTheme="minorHAnsi" w:cstheme="minorBidi"/>
      <w:szCs w:val="22"/>
      <w:lang w:val="en-AU" w:bidi="ar-SA"/>
    </w:rPr>
  </w:style>
  <w:style w:type="paragraph" w:styleId="IndexHeading">
    <w:name w:val="index heading"/>
    <w:basedOn w:val="Normal"/>
    <w:next w:val="Index1"/>
    <w:uiPriority w:val="99"/>
    <w:unhideWhenUsed/>
    <w:rsid w:val="00A145CE"/>
    <w:pPr>
      <w:widowControl/>
      <w:spacing w:before="100" w:beforeAutospacing="1"/>
    </w:pPr>
    <w:rPr>
      <w:rFonts w:asciiTheme="majorHAnsi" w:eastAsiaTheme="majorEastAsia" w:hAnsiTheme="majorHAnsi" w:cstheme="majorBidi"/>
      <w:b/>
      <w:bCs/>
      <w:szCs w:val="22"/>
      <w:lang w:val="en-AU" w:bidi="ar-SA"/>
    </w:rPr>
  </w:style>
  <w:style w:type="paragraph" w:styleId="NormalIndent">
    <w:name w:val="Normal Indent"/>
    <w:basedOn w:val="Normal"/>
    <w:uiPriority w:val="99"/>
    <w:unhideWhenUsed/>
    <w:rsid w:val="00A145CE"/>
    <w:pPr>
      <w:widowControl/>
      <w:spacing w:before="100" w:beforeAutospacing="1"/>
      <w:ind w:left="567"/>
    </w:pPr>
    <w:rPr>
      <w:rFonts w:eastAsiaTheme="minorHAnsi" w:cstheme="minorBidi"/>
      <w:szCs w:val="22"/>
      <w:lang w:val="en-AU" w:bidi="ar-SA"/>
    </w:rPr>
  </w:style>
  <w:style w:type="paragraph" w:styleId="Index9">
    <w:name w:val="index 9"/>
    <w:basedOn w:val="Normal"/>
    <w:next w:val="Normal"/>
    <w:autoRedefine/>
    <w:uiPriority w:val="99"/>
    <w:unhideWhenUsed/>
    <w:rsid w:val="00A145CE"/>
    <w:pPr>
      <w:widowControl/>
      <w:spacing w:before="100" w:beforeAutospacing="1"/>
      <w:ind w:left="1980" w:hanging="220"/>
    </w:pPr>
    <w:rPr>
      <w:rFonts w:eastAsiaTheme="minorHAnsi" w:cstheme="minorBidi"/>
      <w:szCs w:val="22"/>
      <w:lang w:val="en-AU" w:bidi="ar-SA"/>
    </w:rPr>
  </w:style>
  <w:style w:type="paragraph" w:styleId="Index8">
    <w:name w:val="index 8"/>
    <w:basedOn w:val="Normal"/>
    <w:next w:val="Normal"/>
    <w:autoRedefine/>
    <w:uiPriority w:val="99"/>
    <w:unhideWhenUsed/>
    <w:rsid w:val="00A145CE"/>
    <w:pPr>
      <w:widowControl/>
      <w:spacing w:before="100" w:beforeAutospacing="1"/>
      <w:ind w:left="1760" w:hanging="220"/>
    </w:pPr>
    <w:rPr>
      <w:rFonts w:eastAsiaTheme="minorHAnsi" w:cstheme="minorBidi"/>
      <w:szCs w:val="22"/>
      <w:lang w:val="en-AU" w:bidi="ar-SA"/>
    </w:rPr>
  </w:style>
  <w:style w:type="paragraph" w:styleId="Index7">
    <w:name w:val="index 7"/>
    <w:basedOn w:val="Normal"/>
    <w:next w:val="Normal"/>
    <w:autoRedefine/>
    <w:uiPriority w:val="99"/>
    <w:unhideWhenUsed/>
    <w:rsid w:val="00A145CE"/>
    <w:pPr>
      <w:widowControl/>
      <w:spacing w:before="100" w:beforeAutospacing="1"/>
      <w:ind w:left="1540" w:hanging="220"/>
    </w:pPr>
    <w:rPr>
      <w:rFonts w:eastAsiaTheme="minorHAnsi" w:cstheme="minorBidi"/>
      <w:szCs w:val="22"/>
      <w:lang w:val="en-AU" w:bidi="ar-SA"/>
    </w:rPr>
  </w:style>
  <w:style w:type="paragraph" w:styleId="Index6">
    <w:name w:val="index 6"/>
    <w:basedOn w:val="Normal"/>
    <w:next w:val="Normal"/>
    <w:autoRedefine/>
    <w:uiPriority w:val="99"/>
    <w:unhideWhenUsed/>
    <w:rsid w:val="00A145CE"/>
    <w:pPr>
      <w:widowControl/>
      <w:spacing w:before="100" w:beforeAutospacing="1"/>
      <w:ind w:left="1320" w:hanging="220"/>
    </w:pPr>
    <w:rPr>
      <w:rFonts w:eastAsiaTheme="minorHAnsi" w:cstheme="minorBidi"/>
      <w:szCs w:val="22"/>
      <w:lang w:val="en-AU" w:bidi="ar-SA"/>
    </w:rPr>
  </w:style>
  <w:style w:type="paragraph" w:styleId="Index5">
    <w:name w:val="index 5"/>
    <w:basedOn w:val="Normal"/>
    <w:next w:val="Normal"/>
    <w:autoRedefine/>
    <w:uiPriority w:val="99"/>
    <w:unhideWhenUsed/>
    <w:rsid w:val="00A145CE"/>
    <w:pPr>
      <w:widowControl/>
      <w:spacing w:before="100" w:beforeAutospacing="1"/>
      <w:ind w:left="1100" w:hanging="220"/>
    </w:pPr>
    <w:rPr>
      <w:rFonts w:eastAsiaTheme="minorHAnsi" w:cstheme="minorBidi"/>
      <w:szCs w:val="22"/>
      <w:lang w:val="en-AU" w:bidi="ar-SA"/>
    </w:rPr>
  </w:style>
  <w:style w:type="paragraph" w:styleId="Index4">
    <w:name w:val="index 4"/>
    <w:basedOn w:val="Normal"/>
    <w:next w:val="Normal"/>
    <w:autoRedefine/>
    <w:uiPriority w:val="99"/>
    <w:unhideWhenUsed/>
    <w:rsid w:val="00A145CE"/>
    <w:pPr>
      <w:widowControl/>
      <w:spacing w:before="100" w:beforeAutospacing="1"/>
      <w:ind w:left="880" w:hanging="220"/>
    </w:pPr>
    <w:rPr>
      <w:rFonts w:eastAsiaTheme="minorHAnsi" w:cstheme="minorBidi"/>
      <w:szCs w:val="22"/>
      <w:lang w:val="en-AU" w:bidi="ar-SA"/>
    </w:rPr>
  </w:style>
  <w:style w:type="paragraph" w:styleId="Index3">
    <w:name w:val="index 3"/>
    <w:basedOn w:val="Normal"/>
    <w:next w:val="Normal"/>
    <w:autoRedefine/>
    <w:uiPriority w:val="99"/>
    <w:unhideWhenUsed/>
    <w:rsid w:val="00A145CE"/>
    <w:pPr>
      <w:widowControl/>
      <w:spacing w:before="100" w:beforeAutospacing="1"/>
      <w:ind w:left="660" w:hanging="220"/>
    </w:pPr>
    <w:rPr>
      <w:rFonts w:eastAsiaTheme="minorHAnsi" w:cstheme="minorBidi"/>
      <w:szCs w:val="22"/>
      <w:lang w:val="en-AU" w:bidi="ar-SA"/>
    </w:rPr>
  </w:style>
  <w:style w:type="paragraph" w:styleId="Index2">
    <w:name w:val="index 2"/>
    <w:basedOn w:val="Normal"/>
    <w:next w:val="Normal"/>
    <w:autoRedefine/>
    <w:uiPriority w:val="99"/>
    <w:unhideWhenUsed/>
    <w:rsid w:val="00A145CE"/>
    <w:pPr>
      <w:widowControl/>
      <w:spacing w:before="100" w:beforeAutospacing="1"/>
      <w:ind w:left="440" w:hanging="220"/>
    </w:pPr>
    <w:rPr>
      <w:rFonts w:eastAsiaTheme="minorHAnsi" w:cstheme="minorBidi"/>
      <w:szCs w:val="22"/>
      <w:lang w:val="en-AU" w:bidi="ar-SA"/>
    </w:rPr>
  </w:style>
  <w:style w:type="character" w:customStyle="1" w:styleId="tgc">
    <w:name w:val="_tgc"/>
    <w:basedOn w:val="DefaultParagraphFont"/>
    <w:rsid w:val="00A145CE"/>
  </w:style>
  <w:style w:type="table" w:customStyle="1" w:styleId="LightList-Accent11">
    <w:name w:val="Light List - Accent 11"/>
    <w:basedOn w:val="TableNormal"/>
    <w:next w:val="LightList-Accent1"/>
    <w:uiPriority w:val="61"/>
    <w:rsid w:val="00A145CE"/>
    <w:pPr>
      <w:spacing w:after="120" w:line="276" w:lineRule="auto"/>
    </w:pPr>
    <w:rPr>
      <w:rFonts w:ascii="Arial" w:eastAsiaTheme="minorHAns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rossReference">
    <w:name w:val="Cross Reference"/>
    <w:basedOn w:val="Normal"/>
    <w:next w:val="Normal"/>
    <w:link w:val="CrossReferenceChar"/>
    <w:autoRedefine/>
    <w:qFormat/>
    <w:rsid w:val="00A145CE"/>
    <w:pPr>
      <w:widowControl/>
      <w:spacing w:before="100" w:beforeAutospacing="1" w:after="120" w:line="276" w:lineRule="auto"/>
    </w:pPr>
    <w:rPr>
      <w:rFonts w:eastAsiaTheme="minorHAnsi" w:cstheme="minorBidi"/>
      <w:color w:val="0000FF"/>
      <w:szCs w:val="22"/>
      <w:u w:val="single"/>
      <w:lang w:val="en-AU" w:eastAsia="en-GB" w:bidi="ar-SA"/>
    </w:rPr>
  </w:style>
  <w:style w:type="character" w:customStyle="1" w:styleId="CrossReferenceChar">
    <w:name w:val="Cross Reference Char"/>
    <w:basedOn w:val="DefaultParagraphFont"/>
    <w:link w:val="CrossReference"/>
    <w:rsid w:val="00A145CE"/>
    <w:rPr>
      <w:rFonts w:ascii="Arial" w:eastAsiaTheme="minorHAnsi" w:hAnsi="Arial" w:cstheme="minorBidi"/>
      <w:color w:val="0000FF"/>
      <w:sz w:val="22"/>
      <w:szCs w:val="22"/>
      <w:u w:val="single"/>
      <w:lang w:val="en-AU"/>
    </w:rPr>
  </w:style>
  <w:style w:type="character" w:customStyle="1" w:styleId="FSTableColumnRowheadingChar">
    <w:name w:val="FSTable Column/Row heading Char"/>
    <w:basedOn w:val="DefaultParagraphFont"/>
    <w:link w:val="FSTableColumnRowheading"/>
    <w:uiPriority w:val="8"/>
    <w:rsid w:val="00A145CE"/>
    <w:rPr>
      <w:rFonts w:ascii="Arial" w:hAnsi="Arial"/>
      <w:b/>
      <w:lang w:val="en-AU" w:eastAsia="en-US" w:bidi="en-US"/>
    </w:rPr>
  </w:style>
  <w:style w:type="numbering" w:customStyle="1" w:styleId="Style1">
    <w:name w:val="Style1"/>
    <w:uiPriority w:val="99"/>
    <w:rsid w:val="00A145CE"/>
    <w:pPr>
      <w:numPr>
        <w:numId w:val="17"/>
      </w:numPr>
    </w:pPr>
  </w:style>
  <w:style w:type="table" w:styleId="TableContemporary">
    <w:name w:val="Table Contemporary"/>
    <w:basedOn w:val="TableNormal"/>
    <w:rsid w:val="00A145CE"/>
    <w:pPr>
      <w:widowControl w:val="0"/>
      <w:spacing w:after="100" w:afterAutospacing="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erences">
    <w:name w:val="references"/>
    <w:basedOn w:val="Normal"/>
    <w:link w:val="referencesChar"/>
    <w:qFormat/>
    <w:rsid w:val="00A145CE"/>
    <w:pPr>
      <w:keepNext/>
      <w:keepLines/>
      <w:widowControl/>
      <w:tabs>
        <w:tab w:val="left" w:pos="0"/>
      </w:tabs>
      <w:spacing w:before="100" w:beforeAutospacing="1"/>
      <w:ind w:left="561" w:hanging="561"/>
    </w:pPr>
    <w:rPr>
      <w:rFonts w:cs="Arial"/>
      <w:noProof/>
      <w:szCs w:val="22"/>
      <w:lang w:val="en-AU"/>
    </w:rPr>
  </w:style>
  <w:style w:type="character" w:customStyle="1" w:styleId="referencesChar">
    <w:name w:val="references Char"/>
    <w:basedOn w:val="DefaultParagraphFont"/>
    <w:link w:val="references"/>
    <w:rsid w:val="00A145CE"/>
    <w:rPr>
      <w:rFonts w:ascii="Arial" w:hAnsi="Arial" w:cs="Arial"/>
      <w:noProof/>
      <w:sz w:val="22"/>
      <w:szCs w:val="22"/>
      <w:lang w:val="en-AU" w:eastAsia="en-US" w:bidi="en-US"/>
    </w:rPr>
  </w:style>
  <w:style w:type="table" w:styleId="Table3Deffects2">
    <w:name w:val="Table 3D effects 2"/>
    <w:basedOn w:val="TableNormal"/>
    <w:rsid w:val="00A145CE"/>
    <w:pPr>
      <w:widowControl w:val="0"/>
      <w:spacing w:after="100" w:afterAutospacing="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A145CE"/>
    <w:pPr>
      <w:widowControl w:val="0"/>
      <w:spacing w:after="100" w:afterAutospacing="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CitaviBibliographySubheading1">
    <w:name w:val="Citavi Bibliography Subheading 1"/>
    <w:basedOn w:val="Heading2"/>
    <w:link w:val="CitaviBibliographySubheading1Char"/>
    <w:rsid w:val="00A145CE"/>
    <w:pPr>
      <w:spacing w:before="120" w:beforeAutospacing="1" w:after="120" w:afterAutospacing="1"/>
      <w:ind w:left="576" w:hanging="576"/>
      <w:outlineLvl w:val="9"/>
    </w:pPr>
    <w:rPr>
      <w:sz w:val="28"/>
      <w:lang w:val="en-AU" w:bidi="en-US"/>
    </w:rPr>
  </w:style>
  <w:style w:type="character" w:customStyle="1" w:styleId="CitaviBibliographySubheading1Char">
    <w:name w:val="Citavi Bibliography Subheading 1 Char"/>
    <w:basedOn w:val="DefaultParagraphFont"/>
    <w:link w:val="CitaviBibliographySubheading1"/>
    <w:rsid w:val="00A145CE"/>
    <w:rPr>
      <w:rFonts w:ascii="Arial" w:hAnsi="Arial" w:cs="Arial"/>
      <w:b/>
      <w:bCs/>
      <w:sz w:val="28"/>
      <w:szCs w:val="24"/>
      <w:lang w:val="en-AU" w:eastAsia="en-US" w:bidi="en-US"/>
    </w:rPr>
  </w:style>
  <w:style w:type="paragraph" w:customStyle="1" w:styleId="CitaviBibliographySubheading2">
    <w:name w:val="Citavi Bibliography Subheading 2"/>
    <w:basedOn w:val="Heading3"/>
    <w:link w:val="CitaviBibliographySubheading2Char"/>
    <w:rsid w:val="00A145CE"/>
    <w:pPr>
      <w:spacing w:beforeAutospacing="1" w:afterAutospacing="1"/>
      <w:outlineLvl w:val="9"/>
    </w:pPr>
    <w:rPr>
      <w:rFonts w:cs="Arial"/>
      <w:bCs w:val="0"/>
      <w:color w:val="auto"/>
      <w:kern w:val="32"/>
      <w:sz w:val="24"/>
      <w:szCs w:val="32"/>
      <w:lang w:val="en-AU"/>
    </w:rPr>
  </w:style>
  <w:style w:type="character" w:customStyle="1" w:styleId="CitaviBibliographySubheading2Char">
    <w:name w:val="Citavi Bibliography Subheading 2 Char"/>
    <w:basedOn w:val="DefaultParagraphFont"/>
    <w:link w:val="CitaviBibliographySubheading2"/>
    <w:rsid w:val="00A145CE"/>
    <w:rPr>
      <w:rFonts w:ascii="Arial" w:hAnsi="Arial" w:cs="Arial"/>
      <w:b/>
      <w:kern w:val="32"/>
      <w:sz w:val="24"/>
      <w:szCs w:val="32"/>
      <w:lang w:val="en-AU" w:eastAsia="en-AU"/>
    </w:rPr>
  </w:style>
  <w:style w:type="paragraph" w:customStyle="1" w:styleId="CitaviBibliographySubheading3">
    <w:name w:val="Citavi Bibliography Subheading 3"/>
    <w:basedOn w:val="Heading4"/>
    <w:link w:val="CitaviBibliographySubheading3Char"/>
    <w:rsid w:val="00A145CE"/>
    <w:pPr>
      <w:spacing w:beforeAutospacing="1" w:afterAutospacing="1"/>
      <w:ind w:left="0" w:firstLine="0"/>
      <w:outlineLvl w:val="9"/>
    </w:pPr>
    <w:rPr>
      <w:szCs w:val="24"/>
      <w:lang w:val="en-AU" w:bidi="en-US"/>
    </w:rPr>
  </w:style>
  <w:style w:type="character" w:customStyle="1" w:styleId="CitaviBibliographySubheading3Char">
    <w:name w:val="Citavi Bibliography Subheading 3 Char"/>
    <w:basedOn w:val="DefaultParagraphFont"/>
    <w:link w:val="CitaviBibliographySubheading3"/>
    <w:rsid w:val="00A145CE"/>
    <w:rPr>
      <w:rFonts w:ascii="Arial" w:hAnsi="Arial"/>
      <w:b/>
      <w:bCs/>
      <w:i/>
      <w:iCs/>
      <w:sz w:val="22"/>
      <w:szCs w:val="24"/>
      <w:lang w:val="en-AU" w:eastAsia="en-US" w:bidi="en-US"/>
    </w:rPr>
  </w:style>
  <w:style w:type="paragraph" w:customStyle="1" w:styleId="CitaviBibliographySubheading4">
    <w:name w:val="Citavi Bibliography Subheading 4"/>
    <w:basedOn w:val="Heading5"/>
    <w:link w:val="CitaviBibliographySubheading4Char"/>
    <w:rsid w:val="00A145CE"/>
    <w:pPr>
      <w:spacing w:beforeAutospacing="1" w:after="100" w:afterAutospacing="1"/>
      <w:ind w:left="1151" w:hanging="357"/>
      <w:outlineLvl w:val="9"/>
    </w:pPr>
    <w:rPr>
      <w:szCs w:val="24"/>
      <w:lang w:val="en-AU" w:bidi="en-US"/>
    </w:rPr>
  </w:style>
  <w:style w:type="character" w:customStyle="1" w:styleId="CitaviBibliographySubheading4Char">
    <w:name w:val="Citavi Bibliography Subheading 4 Char"/>
    <w:basedOn w:val="DefaultParagraphFont"/>
    <w:link w:val="CitaviBibliographySubheading4"/>
    <w:rsid w:val="00A145CE"/>
    <w:rPr>
      <w:rFonts w:ascii="Arial" w:hAnsi="Arial"/>
      <w:i/>
      <w:sz w:val="22"/>
      <w:szCs w:val="24"/>
      <w:lang w:val="en-AU" w:eastAsia="en-US" w:bidi="en-US"/>
    </w:rPr>
  </w:style>
  <w:style w:type="paragraph" w:customStyle="1" w:styleId="CitaviBibliographySubheading5">
    <w:name w:val="Citavi Bibliography Subheading 5"/>
    <w:basedOn w:val="Heading6"/>
    <w:link w:val="CitaviBibliographySubheading5Char"/>
    <w:rsid w:val="00A145CE"/>
    <w:pPr>
      <w:spacing w:beforeAutospacing="1" w:afterAutospacing="1"/>
      <w:ind w:left="1152" w:hanging="1152"/>
      <w:outlineLvl w:val="9"/>
    </w:pPr>
    <w:rPr>
      <w:szCs w:val="24"/>
      <w:lang w:val="en-AU"/>
    </w:rPr>
  </w:style>
  <w:style w:type="character" w:customStyle="1" w:styleId="CitaviBibliographySubheading5Char">
    <w:name w:val="Citavi Bibliography Subheading 5 Char"/>
    <w:basedOn w:val="DefaultParagraphFont"/>
    <w:link w:val="CitaviBibliographySubheading5"/>
    <w:rsid w:val="00A145CE"/>
    <w:rPr>
      <w:rFonts w:ascii="Arial" w:hAnsi="Arial" w:cs="Arial Unicode MS"/>
      <w:b/>
      <w:bCs/>
      <w:sz w:val="22"/>
      <w:szCs w:val="24"/>
      <w:lang w:val="en-AU" w:eastAsia="en-US" w:bidi="en-US"/>
    </w:rPr>
  </w:style>
  <w:style w:type="paragraph" w:customStyle="1" w:styleId="CitaviBibliographySubheading6">
    <w:name w:val="Citavi Bibliography Subheading 6"/>
    <w:basedOn w:val="Heading7"/>
    <w:link w:val="CitaviBibliographySubheading6Char"/>
    <w:rsid w:val="00A145CE"/>
    <w:pPr>
      <w:spacing w:beforeAutospacing="1" w:afterAutospacing="1"/>
      <w:ind w:left="1296" w:hanging="1296"/>
      <w:outlineLvl w:val="9"/>
    </w:pPr>
    <w:rPr>
      <w:lang w:val="en-AU"/>
    </w:rPr>
  </w:style>
  <w:style w:type="character" w:customStyle="1" w:styleId="CitaviBibliographySubheading6Char">
    <w:name w:val="Citavi Bibliography Subheading 6 Char"/>
    <w:basedOn w:val="DefaultParagraphFont"/>
    <w:link w:val="CitaviBibliographySubheading6"/>
    <w:rsid w:val="00A145CE"/>
    <w:rPr>
      <w:rFonts w:ascii="Arial" w:hAnsi="Arial"/>
      <w:sz w:val="22"/>
      <w:szCs w:val="24"/>
      <w:lang w:val="en-AU" w:eastAsia="en-US" w:bidi="en-US"/>
    </w:rPr>
  </w:style>
  <w:style w:type="paragraph" w:customStyle="1" w:styleId="CitaviBibliographySubheading7">
    <w:name w:val="Citavi Bibliography Subheading 7"/>
    <w:basedOn w:val="Heading8"/>
    <w:link w:val="CitaviBibliographySubheading7Char"/>
    <w:rsid w:val="00A145CE"/>
    <w:pPr>
      <w:spacing w:beforeAutospacing="1" w:afterAutospacing="1"/>
      <w:ind w:left="1440" w:hanging="1440"/>
      <w:outlineLvl w:val="9"/>
    </w:pPr>
    <w:rPr>
      <w:lang w:val="en-AU"/>
    </w:rPr>
  </w:style>
  <w:style w:type="character" w:customStyle="1" w:styleId="CitaviBibliographySubheading7Char">
    <w:name w:val="Citavi Bibliography Subheading 7 Char"/>
    <w:basedOn w:val="DefaultParagraphFont"/>
    <w:link w:val="CitaviBibliographySubheading7"/>
    <w:rsid w:val="00A145CE"/>
    <w:rPr>
      <w:rFonts w:ascii="Arial" w:hAnsi="Arial"/>
      <w:i/>
      <w:iCs/>
      <w:sz w:val="22"/>
      <w:szCs w:val="24"/>
      <w:lang w:val="en-AU" w:eastAsia="en-US" w:bidi="en-US"/>
    </w:rPr>
  </w:style>
  <w:style w:type="paragraph" w:customStyle="1" w:styleId="CitaviBibliographySubheading8">
    <w:name w:val="Citavi Bibliography Subheading 8"/>
    <w:basedOn w:val="Heading9"/>
    <w:link w:val="CitaviBibliographySubheading8Char"/>
    <w:rsid w:val="00A145CE"/>
    <w:pPr>
      <w:spacing w:beforeAutospacing="1" w:afterAutospacing="1"/>
      <w:ind w:left="1584" w:hanging="1584"/>
      <w:outlineLvl w:val="9"/>
    </w:pPr>
    <w:rPr>
      <w:lang w:val="en-AU"/>
    </w:rPr>
  </w:style>
  <w:style w:type="character" w:customStyle="1" w:styleId="CitaviBibliographySubheading8Char">
    <w:name w:val="Citavi Bibliography Subheading 8 Char"/>
    <w:basedOn w:val="DefaultParagraphFont"/>
    <w:link w:val="CitaviBibliographySubheading8"/>
    <w:rsid w:val="00A145CE"/>
    <w:rPr>
      <w:rFonts w:ascii="Cambria" w:hAnsi="Cambria"/>
      <w:sz w:val="22"/>
      <w:szCs w:val="22"/>
      <w:lang w:val="en-AU" w:eastAsia="en-US" w:bidi="en-US"/>
    </w:rPr>
  </w:style>
  <w:style w:type="paragraph" w:customStyle="1" w:styleId="CCI">
    <w:name w:val="CCI"/>
    <w:basedOn w:val="Normal"/>
    <w:next w:val="Normal"/>
    <w:link w:val="CCIChar"/>
    <w:qFormat/>
    <w:rsid w:val="00A145CE"/>
    <w:pPr>
      <w:spacing w:before="100" w:beforeAutospacing="1" w:after="100" w:afterAutospacing="1"/>
    </w:pPr>
    <w:rPr>
      <w:color w:val="4F81BD" w:themeColor="accent1"/>
      <w:lang w:val="en-AU" w:eastAsia="en-AU" w:bidi="ar-SA"/>
    </w:rPr>
  </w:style>
  <w:style w:type="character" w:customStyle="1" w:styleId="CCIChar">
    <w:name w:val="CCI Char"/>
    <w:basedOn w:val="DefaultParagraphFont"/>
    <w:link w:val="CCI"/>
    <w:rsid w:val="00A145CE"/>
    <w:rPr>
      <w:rFonts w:ascii="Arial" w:hAnsi="Arial"/>
      <w:color w:val="4F81BD" w:themeColor="accent1"/>
      <w:sz w:val="22"/>
      <w:szCs w:val="24"/>
      <w:lang w:val="en-AU" w:eastAsia="en-AU"/>
    </w:rPr>
  </w:style>
  <w:style w:type="table" w:styleId="GridTable7Colorful-Accent3">
    <w:name w:val="Grid Table 7 Colorful Accent 3"/>
    <w:basedOn w:val="TableNormal"/>
    <w:uiPriority w:val="52"/>
    <w:rsid w:val="003266D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stTable5Dark-Accent3">
    <w:name w:val="List Table 5 Dark Accent 3"/>
    <w:basedOn w:val="TableNormal"/>
    <w:uiPriority w:val="50"/>
    <w:rsid w:val="003266D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3266D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HeaderEPHFF-26042022-115932AM">
    <w:name w:val="HeaderEPHFF-26042022-115932 AM"/>
    <w:rsid w:val="002F36D0"/>
    <w:pPr>
      <w:keepNext/>
      <w:widowControl w:val="0"/>
      <w:spacing w:before="240" w:after="240"/>
      <w:outlineLvl w:val="1"/>
    </w:pPr>
    <w:rPr>
      <w:rFonts w:ascii="Arial" w:hAnsi="Arial" w:cs="Arial"/>
      <w:b/>
      <w:bCs/>
      <w:sz w:val="28"/>
      <w:szCs w:val="22"/>
      <w:lang w:eastAsia="en-US"/>
    </w:rPr>
  </w:style>
  <w:style w:type="paragraph" w:customStyle="1" w:styleId="FooterFPHFF-3052022-40603PM">
    <w:name w:val="FooterFPHFF-3052022-40603 PM"/>
    <w:rsid w:val="009D6AE6"/>
    <w:pPr>
      <w:widowControl w:val="0"/>
    </w:pPr>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344">
      <w:bodyDiv w:val="1"/>
      <w:marLeft w:val="0"/>
      <w:marRight w:val="0"/>
      <w:marTop w:val="0"/>
      <w:marBottom w:val="0"/>
      <w:divBdr>
        <w:top w:val="none" w:sz="0" w:space="0" w:color="auto"/>
        <w:left w:val="none" w:sz="0" w:space="0" w:color="auto"/>
        <w:bottom w:val="none" w:sz="0" w:space="0" w:color="auto"/>
        <w:right w:val="none" w:sz="0" w:space="0" w:color="auto"/>
      </w:divBdr>
      <w:divsChild>
        <w:div w:id="423108780">
          <w:marLeft w:val="0"/>
          <w:marRight w:val="0"/>
          <w:marTop w:val="0"/>
          <w:marBottom w:val="0"/>
          <w:divBdr>
            <w:top w:val="none" w:sz="0" w:space="0" w:color="auto"/>
            <w:left w:val="none" w:sz="0" w:space="0" w:color="auto"/>
            <w:bottom w:val="none" w:sz="0" w:space="0" w:color="auto"/>
            <w:right w:val="none" w:sz="0" w:space="0" w:color="auto"/>
          </w:divBdr>
          <w:divsChild>
            <w:div w:id="697387524">
              <w:marLeft w:val="0"/>
              <w:marRight w:val="0"/>
              <w:marTop w:val="0"/>
              <w:marBottom w:val="0"/>
              <w:divBdr>
                <w:top w:val="none" w:sz="0" w:space="0" w:color="auto"/>
                <w:left w:val="none" w:sz="0" w:space="0" w:color="auto"/>
                <w:bottom w:val="none" w:sz="0" w:space="0" w:color="auto"/>
                <w:right w:val="none" w:sz="0" w:space="0" w:color="auto"/>
              </w:divBdr>
              <w:divsChild>
                <w:div w:id="2129008886">
                  <w:marLeft w:val="0"/>
                  <w:marRight w:val="0"/>
                  <w:marTop w:val="0"/>
                  <w:marBottom w:val="0"/>
                  <w:divBdr>
                    <w:top w:val="none" w:sz="0" w:space="0" w:color="auto"/>
                    <w:left w:val="none" w:sz="0" w:space="0" w:color="auto"/>
                    <w:bottom w:val="none" w:sz="0" w:space="0" w:color="auto"/>
                    <w:right w:val="none" w:sz="0" w:space="0" w:color="auto"/>
                  </w:divBdr>
                  <w:divsChild>
                    <w:div w:id="1631983140">
                      <w:marLeft w:val="0"/>
                      <w:marRight w:val="0"/>
                      <w:marTop w:val="0"/>
                      <w:marBottom w:val="0"/>
                      <w:divBdr>
                        <w:top w:val="none" w:sz="0" w:space="0" w:color="auto"/>
                        <w:left w:val="none" w:sz="0" w:space="0" w:color="auto"/>
                        <w:bottom w:val="none" w:sz="0" w:space="0" w:color="auto"/>
                        <w:right w:val="none" w:sz="0" w:space="0" w:color="auto"/>
                      </w:divBdr>
                      <w:divsChild>
                        <w:div w:id="1250773460">
                          <w:marLeft w:val="0"/>
                          <w:marRight w:val="0"/>
                          <w:marTop w:val="0"/>
                          <w:marBottom w:val="0"/>
                          <w:divBdr>
                            <w:top w:val="none" w:sz="0" w:space="0" w:color="auto"/>
                            <w:left w:val="none" w:sz="0" w:space="0" w:color="auto"/>
                            <w:bottom w:val="none" w:sz="0" w:space="0" w:color="auto"/>
                            <w:right w:val="none" w:sz="0" w:space="0" w:color="auto"/>
                          </w:divBdr>
                          <w:divsChild>
                            <w:div w:id="1786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6753">
      <w:bodyDiv w:val="1"/>
      <w:marLeft w:val="0"/>
      <w:marRight w:val="0"/>
      <w:marTop w:val="0"/>
      <w:marBottom w:val="0"/>
      <w:divBdr>
        <w:top w:val="none" w:sz="0" w:space="0" w:color="auto"/>
        <w:left w:val="none" w:sz="0" w:space="0" w:color="auto"/>
        <w:bottom w:val="none" w:sz="0" w:space="0" w:color="auto"/>
        <w:right w:val="none" w:sz="0" w:space="0" w:color="auto"/>
      </w:divBdr>
    </w:div>
    <w:div w:id="118227469">
      <w:bodyDiv w:val="1"/>
      <w:marLeft w:val="0"/>
      <w:marRight w:val="0"/>
      <w:marTop w:val="0"/>
      <w:marBottom w:val="0"/>
      <w:divBdr>
        <w:top w:val="none" w:sz="0" w:space="0" w:color="auto"/>
        <w:left w:val="none" w:sz="0" w:space="0" w:color="auto"/>
        <w:bottom w:val="none" w:sz="0" w:space="0" w:color="auto"/>
        <w:right w:val="none" w:sz="0" w:space="0" w:color="auto"/>
      </w:divBdr>
    </w:div>
    <w:div w:id="130900365">
      <w:bodyDiv w:val="1"/>
      <w:marLeft w:val="0"/>
      <w:marRight w:val="0"/>
      <w:marTop w:val="0"/>
      <w:marBottom w:val="0"/>
      <w:divBdr>
        <w:top w:val="none" w:sz="0" w:space="0" w:color="auto"/>
        <w:left w:val="none" w:sz="0" w:space="0" w:color="auto"/>
        <w:bottom w:val="none" w:sz="0" w:space="0" w:color="auto"/>
        <w:right w:val="none" w:sz="0" w:space="0" w:color="auto"/>
      </w:divBdr>
      <w:divsChild>
        <w:div w:id="2016223171">
          <w:marLeft w:val="0"/>
          <w:marRight w:val="0"/>
          <w:marTop w:val="0"/>
          <w:marBottom w:val="0"/>
          <w:divBdr>
            <w:top w:val="none" w:sz="0" w:space="0" w:color="auto"/>
            <w:left w:val="none" w:sz="0" w:space="0" w:color="auto"/>
            <w:bottom w:val="none" w:sz="0" w:space="0" w:color="auto"/>
            <w:right w:val="none" w:sz="0" w:space="0" w:color="auto"/>
          </w:divBdr>
          <w:divsChild>
            <w:div w:id="59132656">
              <w:marLeft w:val="0"/>
              <w:marRight w:val="0"/>
              <w:marTop w:val="0"/>
              <w:marBottom w:val="0"/>
              <w:divBdr>
                <w:top w:val="none" w:sz="0" w:space="0" w:color="auto"/>
                <w:left w:val="none" w:sz="0" w:space="0" w:color="auto"/>
                <w:bottom w:val="none" w:sz="0" w:space="0" w:color="auto"/>
                <w:right w:val="none" w:sz="0" w:space="0" w:color="auto"/>
              </w:divBdr>
              <w:divsChild>
                <w:div w:id="2055930129">
                  <w:marLeft w:val="0"/>
                  <w:marRight w:val="0"/>
                  <w:marTop w:val="0"/>
                  <w:marBottom w:val="0"/>
                  <w:divBdr>
                    <w:top w:val="none" w:sz="0" w:space="0" w:color="auto"/>
                    <w:left w:val="none" w:sz="0" w:space="0" w:color="auto"/>
                    <w:bottom w:val="none" w:sz="0" w:space="0" w:color="auto"/>
                    <w:right w:val="none" w:sz="0" w:space="0" w:color="auto"/>
                  </w:divBdr>
                  <w:divsChild>
                    <w:div w:id="1653826593">
                      <w:marLeft w:val="0"/>
                      <w:marRight w:val="0"/>
                      <w:marTop w:val="0"/>
                      <w:marBottom w:val="0"/>
                      <w:divBdr>
                        <w:top w:val="none" w:sz="0" w:space="0" w:color="auto"/>
                        <w:left w:val="none" w:sz="0" w:space="0" w:color="auto"/>
                        <w:bottom w:val="none" w:sz="0" w:space="0" w:color="auto"/>
                        <w:right w:val="none" w:sz="0" w:space="0" w:color="auto"/>
                      </w:divBdr>
                      <w:divsChild>
                        <w:div w:id="1862547205">
                          <w:marLeft w:val="0"/>
                          <w:marRight w:val="0"/>
                          <w:marTop w:val="0"/>
                          <w:marBottom w:val="0"/>
                          <w:divBdr>
                            <w:top w:val="none" w:sz="0" w:space="0" w:color="auto"/>
                            <w:left w:val="none" w:sz="0" w:space="0" w:color="auto"/>
                            <w:bottom w:val="none" w:sz="0" w:space="0" w:color="auto"/>
                            <w:right w:val="none" w:sz="0" w:space="0" w:color="auto"/>
                          </w:divBdr>
                          <w:divsChild>
                            <w:div w:id="223569850">
                              <w:marLeft w:val="0"/>
                              <w:marRight w:val="0"/>
                              <w:marTop w:val="0"/>
                              <w:marBottom w:val="0"/>
                              <w:divBdr>
                                <w:top w:val="none" w:sz="0" w:space="0" w:color="auto"/>
                                <w:left w:val="none" w:sz="0" w:space="0" w:color="auto"/>
                                <w:bottom w:val="none" w:sz="0" w:space="0" w:color="auto"/>
                                <w:right w:val="none" w:sz="0" w:space="0" w:color="auto"/>
                              </w:divBdr>
                              <w:divsChild>
                                <w:div w:id="1757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7200">
      <w:bodyDiv w:val="1"/>
      <w:marLeft w:val="0"/>
      <w:marRight w:val="0"/>
      <w:marTop w:val="0"/>
      <w:marBottom w:val="0"/>
      <w:divBdr>
        <w:top w:val="none" w:sz="0" w:space="0" w:color="auto"/>
        <w:left w:val="none" w:sz="0" w:space="0" w:color="auto"/>
        <w:bottom w:val="none" w:sz="0" w:space="0" w:color="auto"/>
        <w:right w:val="none" w:sz="0" w:space="0" w:color="auto"/>
      </w:divBdr>
      <w:divsChild>
        <w:div w:id="1577125245">
          <w:marLeft w:val="0"/>
          <w:marRight w:val="0"/>
          <w:marTop w:val="0"/>
          <w:marBottom w:val="0"/>
          <w:divBdr>
            <w:top w:val="none" w:sz="0" w:space="0" w:color="auto"/>
            <w:left w:val="none" w:sz="0" w:space="0" w:color="auto"/>
            <w:bottom w:val="none" w:sz="0" w:space="0" w:color="auto"/>
            <w:right w:val="none" w:sz="0" w:space="0" w:color="auto"/>
          </w:divBdr>
        </w:div>
      </w:divsChild>
    </w:div>
    <w:div w:id="205026232">
      <w:bodyDiv w:val="1"/>
      <w:marLeft w:val="0"/>
      <w:marRight w:val="0"/>
      <w:marTop w:val="0"/>
      <w:marBottom w:val="0"/>
      <w:divBdr>
        <w:top w:val="none" w:sz="0" w:space="0" w:color="auto"/>
        <w:left w:val="none" w:sz="0" w:space="0" w:color="auto"/>
        <w:bottom w:val="none" w:sz="0" w:space="0" w:color="auto"/>
        <w:right w:val="none" w:sz="0" w:space="0" w:color="auto"/>
      </w:divBdr>
      <w:divsChild>
        <w:div w:id="981619952">
          <w:marLeft w:val="0"/>
          <w:marRight w:val="0"/>
          <w:marTop w:val="0"/>
          <w:marBottom w:val="0"/>
          <w:divBdr>
            <w:top w:val="none" w:sz="0" w:space="0" w:color="auto"/>
            <w:left w:val="none" w:sz="0" w:space="0" w:color="auto"/>
            <w:bottom w:val="none" w:sz="0" w:space="0" w:color="auto"/>
            <w:right w:val="none" w:sz="0" w:space="0" w:color="auto"/>
          </w:divBdr>
          <w:divsChild>
            <w:div w:id="1177039630">
              <w:marLeft w:val="0"/>
              <w:marRight w:val="0"/>
              <w:marTop w:val="0"/>
              <w:marBottom w:val="0"/>
              <w:divBdr>
                <w:top w:val="none" w:sz="0" w:space="0" w:color="auto"/>
                <w:left w:val="none" w:sz="0" w:space="0" w:color="auto"/>
                <w:bottom w:val="none" w:sz="0" w:space="0" w:color="auto"/>
                <w:right w:val="none" w:sz="0" w:space="0" w:color="auto"/>
              </w:divBdr>
              <w:divsChild>
                <w:div w:id="2142725582">
                  <w:marLeft w:val="0"/>
                  <w:marRight w:val="0"/>
                  <w:marTop w:val="0"/>
                  <w:marBottom w:val="0"/>
                  <w:divBdr>
                    <w:top w:val="none" w:sz="0" w:space="0" w:color="auto"/>
                    <w:left w:val="none" w:sz="0" w:space="0" w:color="auto"/>
                    <w:bottom w:val="none" w:sz="0" w:space="0" w:color="auto"/>
                    <w:right w:val="none" w:sz="0" w:space="0" w:color="auto"/>
                  </w:divBdr>
                  <w:divsChild>
                    <w:div w:id="924417139">
                      <w:marLeft w:val="0"/>
                      <w:marRight w:val="0"/>
                      <w:marTop w:val="0"/>
                      <w:marBottom w:val="0"/>
                      <w:divBdr>
                        <w:top w:val="none" w:sz="0" w:space="0" w:color="auto"/>
                        <w:left w:val="none" w:sz="0" w:space="0" w:color="auto"/>
                        <w:bottom w:val="none" w:sz="0" w:space="0" w:color="auto"/>
                        <w:right w:val="none" w:sz="0" w:space="0" w:color="auto"/>
                      </w:divBdr>
                      <w:divsChild>
                        <w:div w:id="401609617">
                          <w:marLeft w:val="0"/>
                          <w:marRight w:val="0"/>
                          <w:marTop w:val="0"/>
                          <w:marBottom w:val="0"/>
                          <w:divBdr>
                            <w:top w:val="none" w:sz="0" w:space="0" w:color="auto"/>
                            <w:left w:val="none" w:sz="0" w:space="0" w:color="auto"/>
                            <w:bottom w:val="none" w:sz="0" w:space="0" w:color="auto"/>
                            <w:right w:val="none" w:sz="0" w:space="0" w:color="auto"/>
                          </w:divBdr>
                          <w:divsChild>
                            <w:div w:id="614481358">
                              <w:marLeft w:val="0"/>
                              <w:marRight w:val="0"/>
                              <w:marTop w:val="0"/>
                              <w:marBottom w:val="0"/>
                              <w:divBdr>
                                <w:top w:val="none" w:sz="0" w:space="0" w:color="auto"/>
                                <w:left w:val="none" w:sz="0" w:space="0" w:color="auto"/>
                                <w:bottom w:val="none" w:sz="0" w:space="0" w:color="auto"/>
                                <w:right w:val="none" w:sz="0" w:space="0" w:color="auto"/>
                              </w:divBdr>
                              <w:divsChild>
                                <w:div w:id="5291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640083">
      <w:bodyDiv w:val="1"/>
      <w:marLeft w:val="0"/>
      <w:marRight w:val="0"/>
      <w:marTop w:val="0"/>
      <w:marBottom w:val="0"/>
      <w:divBdr>
        <w:top w:val="none" w:sz="0" w:space="0" w:color="auto"/>
        <w:left w:val="none" w:sz="0" w:space="0" w:color="auto"/>
        <w:bottom w:val="none" w:sz="0" w:space="0" w:color="auto"/>
        <w:right w:val="none" w:sz="0" w:space="0" w:color="auto"/>
      </w:divBdr>
    </w:div>
    <w:div w:id="270627873">
      <w:bodyDiv w:val="1"/>
      <w:marLeft w:val="0"/>
      <w:marRight w:val="0"/>
      <w:marTop w:val="0"/>
      <w:marBottom w:val="0"/>
      <w:divBdr>
        <w:top w:val="none" w:sz="0" w:space="0" w:color="auto"/>
        <w:left w:val="none" w:sz="0" w:space="0" w:color="auto"/>
        <w:bottom w:val="none" w:sz="0" w:space="0" w:color="auto"/>
        <w:right w:val="none" w:sz="0" w:space="0" w:color="auto"/>
      </w:divBdr>
    </w:div>
    <w:div w:id="321809728">
      <w:bodyDiv w:val="1"/>
      <w:marLeft w:val="0"/>
      <w:marRight w:val="0"/>
      <w:marTop w:val="0"/>
      <w:marBottom w:val="0"/>
      <w:divBdr>
        <w:top w:val="none" w:sz="0" w:space="0" w:color="auto"/>
        <w:left w:val="none" w:sz="0" w:space="0" w:color="auto"/>
        <w:bottom w:val="none" w:sz="0" w:space="0" w:color="auto"/>
        <w:right w:val="none" w:sz="0" w:space="0" w:color="auto"/>
      </w:divBdr>
    </w:div>
    <w:div w:id="325862875">
      <w:bodyDiv w:val="1"/>
      <w:marLeft w:val="0"/>
      <w:marRight w:val="0"/>
      <w:marTop w:val="0"/>
      <w:marBottom w:val="0"/>
      <w:divBdr>
        <w:top w:val="none" w:sz="0" w:space="0" w:color="auto"/>
        <w:left w:val="none" w:sz="0" w:space="0" w:color="auto"/>
        <w:bottom w:val="none" w:sz="0" w:space="0" w:color="auto"/>
        <w:right w:val="none" w:sz="0" w:space="0" w:color="auto"/>
      </w:divBdr>
    </w:div>
    <w:div w:id="341325013">
      <w:bodyDiv w:val="1"/>
      <w:marLeft w:val="0"/>
      <w:marRight w:val="0"/>
      <w:marTop w:val="0"/>
      <w:marBottom w:val="0"/>
      <w:divBdr>
        <w:top w:val="none" w:sz="0" w:space="0" w:color="auto"/>
        <w:left w:val="none" w:sz="0" w:space="0" w:color="auto"/>
        <w:bottom w:val="none" w:sz="0" w:space="0" w:color="auto"/>
        <w:right w:val="none" w:sz="0" w:space="0" w:color="auto"/>
      </w:divBdr>
    </w:div>
    <w:div w:id="372970566">
      <w:bodyDiv w:val="1"/>
      <w:marLeft w:val="0"/>
      <w:marRight w:val="0"/>
      <w:marTop w:val="0"/>
      <w:marBottom w:val="0"/>
      <w:divBdr>
        <w:top w:val="none" w:sz="0" w:space="0" w:color="auto"/>
        <w:left w:val="none" w:sz="0" w:space="0" w:color="auto"/>
        <w:bottom w:val="none" w:sz="0" w:space="0" w:color="auto"/>
        <w:right w:val="none" w:sz="0" w:space="0" w:color="auto"/>
      </w:divBdr>
    </w:div>
    <w:div w:id="408381760">
      <w:bodyDiv w:val="1"/>
      <w:marLeft w:val="0"/>
      <w:marRight w:val="0"/>
      <w:marTop w:val="0"/>
      <w:marBottom w:val="0"/>
      <w:divBdr>
        <w:top w:val="none" w:sz="0" w:space="0" w:color="auto"/>
        <w:left w:val="none" w:sz="0" w:space="0" w:color="auto"/>
        <w:bottom w:val="none" w:sz="0" w:space="0" w:color="auto"/>
        <w:right w:val="none" w:sz="0" w:space="0" w:color="auto"/>
      </w:divBdr>
    </w:div>
    <w:div w:id="480313948">
      <w:bodyDiv w:val="1"/>
      <w:marLeft w:val="0"/>
      <w:marRight w:val="0"/>
      <w:marTop w:val="0"/>
      <w:marBottom w:val="0"/>
      <w:divBdr>
        <w:top w:val="none" w:sz="0" w:space="0" w:color="auto"/>
        <w:left w:val="none" w:sz="0" w:space="0" w:color="auto"/>
        <w:bottom w:val="none" w:sz="0" w:space="0" w:color="auto"/>
        <w:right w:val="none" w:sz="0" w:space="0" w:color="auto"/>
      </w:divBdr>
      <w:divsChild>
        <w:div w:id="1101338076">
          <w:marLeft w:val="0"/>
          <w:marRight w:val="0"/>
          <w:marTop w:val="0"/>
          <w:marBottom w:val="0"/>
          <w:divBdr>
            <w:top w:val="none" w:sz="0" w:space="0" w:color="auto"/>
            <w:left w:val="none" w:sz="0" w:space="0" w:color="auto"/>
            <w:bottom w:val="none" w:sz="0" w:space="0" w:color="auto"/>
            <w:right w:val="none" w:sz="0" w:space="0" w:color="auto"/>
          </w:divBdr>
          <w:divsChild>
            <w:div w:id="2032879539">
              <w:marLeft w:val="0"/>
              <w:marRight w:val="0"/>
              <w:marTop w:val="0"/>
              <w:marBottom w:val="0"/>
              <w:divBdr>
                <w:top w:val="none" w:sz="0" w:space="0" w:color="auto"/>
                <w:left w:val="none" w:sz="0" w:space="0" w:color="auto"/>
                <w:bottom w:val="none" w:sz="0" w:space="0" w:color="auto"/>
                <w:right w:val="none" w:sz="0" w:space="0" w:color="auto"/>
              </w:divBdr>
              <w:divsChild>
                <w:div w:id="1851797744">
                  <w:marLeft w:val="0"/>
                  <w:marRight w:val="0"/>
                  <w:marTop w:val="0"/>
                  <w:marBottom w:val="0"/>
                  <w:divBdr>
                    <w:top w:val="none" w:sz="0" w:space="0" w:color="auto"/>
                    <w:left w:val="none" w:sz="0" w:space="0" w:color="auto"/>
                    <w:bottom w:val="none" w:sz="0" w:space="0" w:color="auto"/>
                    <w:right w:val="none" w:sz="0" w:space="0" w:color="auto"/>
                  </w:divBdr>
                  <w:divsChild>
                    <w:div w:id="1928222759">
                      <w:marLeft w:val="0"/>
                      <w:marRight w:val="0"/>
                      <w:marTop w:val="0"/>
                      <w:marBottom w:val="0"/>
                      <w:divBdr>
                        <w:top w:val="none" w:sz="0" w:space="0" w:color="auto"/>
                        <w:left w:val="none" w:sz="0" w:space="0" w:color="auto"/>
                        <w:bottom w:val="none" w:sz="0" w:space="0" w:color="auto"/>
                        <w:right w:val="none" w:sz="0" w:space="0" w:color="auto"/>
                      </w:divBdr>
                      <w:divsChild>
                        <w:div w:id="685710187">
                          <w:marLeft w:val="0"/>
                          <w:marRight w:val="0"/>
                          <w:marTop w:val="0"/>
                          <w:marBottom w:val="0"/>
                          <w:divBdr>
                            <w:top w:val="none" w:sz="0" w:space="0" w:color="auto"/>
                            <w:left w:val="none" w:sz="0" w:space="0" w:color="auto"/>
                            <w:bottom w:val="none" w:sz="0" w:space="0" w:color="auto"/>
                            <w:right w:val="none" w:sz="0" w:space="0" w:color="auto"/>
                          </w:divBdr>
                          <w:divsChild>
                            <w:div w:id="475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57226">
      <w:bodyDiv w:val="1"/>
      <w:marLeft w:val="0"/>
      <w:marRight w:val="0"/>
      <w:marTop w:val="0"/>
      <w:marBottom w:val="0"/>
      <w:divBdr>
        <w:top w:val="none" w:sz="0" w:space="0" w:color="auto"/>
        <w:left w:val="none" w:sz="0" w:space="0" w:color="auto"/>
        <w:bottom w:val="none" w:sz="0" w:space="0" w:color="auto"/>
        <w:right w:val="none" w:sz="0" w:space="0" w:color="auto"/>
      </w:divBdr>
    </w:div>
    <w:div w:id="513375270">
      <w:bodyDiv w:val="1"/>
      <w:marLeft w:val="0"/>
      <w:marRight w:val="0"/>
      <w:marTop w:val="0"/>
      <w:marBottom w:val="0"/>
      <w:divBdr>
        <w:top w:val="none" w:sz="0" w:space="0" w:color="auto"/>
        <w:left w:val="none" w:sz="0" w:space="0" w:color="auto"/>
        <w:bottom w:val="none" w:sz="0" w:space="0" w:color="auto"/>
        <w:right w:val="none" w:sz="0" w:space="0" w:color="auto"/>
      </w:divBdr>
    </w:div>
    <w:div w:id="527261941">
      <w:bodyDiv w:val="1"/>
      <w:marLeft w:val="0"/>
      <w:marRight w:val="0"/>
      <w:marTop w:val="0"/>
      <w:marBottom w:val="0"/>
      <w:divBdr>
        <w:top w:val="none" w:sz="0" w:space="0" w:color="auto"/>
        <w:left w:val="none" w:sz="0" w:space="0" w:color="auto"/>
        <w:bottom w:val="none" w:sz="0" w:space="0" w:color="auto"/>
        <w:right w:val="none" w:sz="0" w:space="0" w:color="auto"/>
      </w:divBdr>
      <w:divsChild>
        <w:div w:id="879248309">
          <w:marLeft w:val="0"/>
          <w:marRight w:val="0"/>
          <w:marTop w:val="0"/>
          <w:marBottom w:val="0"/>
          <w:divBdr>
            <w:top w:val="none" w:sz="0" w:space="0" w:color="auto"/>
            <w:left w:val="none" w:sz="0" w:space="0" w:color="auto"/>
            <w:bottom w:val="none" w:sz="0" w:space="0" w:color="auto"/>
            <w:right w:val="none" w:sz="0" w:space="0" w:color="auto"/>
          </w:divBdr>
          <w:divsChild>
            <w:div w:id="1754736561">
              <w:marLeft w:val="0"/>
              <w:marRight w:val="0"/>
              <w:marTop w:val="0"/>
              <w:marBottom w:val="0"/>
              <w:divBdr>
                <w:top w:val="none" w:sz="0" w:space="0" w:color="auto"/>
                <w:left w:val="none" w:sz="0" w:space="0" w:color="auto"/>
                <w:bottom w:val="none" w:sz="0" w:space="0" w:color="auto"/>
                <w:right w:val="none" w:sz="0" w:space="0" w:color="auto"/>
              </w:divBdr>
              <w:divsChild>
                <w:div w:id="1035425227">
                  <w:marLeft w:val="0"/>
                  <w:marRight w:val="0"/>
                  <w:marTop w:val="0"/>
                  <w:marBottom w:val="0"/>
                  <w:divBdr>
                    <w:top w:val="none" w:sz="0" w:space="0" w:color="auto"/>
                    <w:left w:val="none" w:sz="0" w:space="0" w:color="auto"/>
                    <w:bottom w:val="none" w:sz="0" w:space="0" w:color="auto"/>
                    <w:right w:val="none" w:sz="0" w:space="0" w:color="auto"/>
                  </w:divBdr>
                  <w:divsChild>
                    <w:div w:id="1017078285">
                      <w:marLeft w:val="0"/>
                      <w:marRight w:val="0"/>
                      <w:marTop w:val="0"/>
                      <w:marBottom w:val="0"/>
                      <w:divBdr>
                        <w:top w:val="none" w:sz="0" w:space="0" w:color="auto"/>
                        <w:left w:val="none" w:sz="0" w:space="0" w:color="auto"/>
                        <w:bottom w:val="none" w:sz="0" w:space="0" w:color="auto"/>
                        <w:right w:val="none" w:sz="0" w:space="0" w:color="auto"/>
                      </w:divBdr>
                      <w:divsChild>
                        <w:div w:id="394642">
                          <w:marLeft w:val="0"/>
                          <w:marRight w:val="0"/>
                          <w:marTop w:val="0"/>
                          <w:marBottom w:val="0"/>
                          <w:divBdr>
                            <w:top w:val="none" w:sz="0" w:space="0" w:color="auto"/>
                            <w:left w:val="none" w:sz="0" w:space="0" w:color="auto"/>
                            <w:bottom w:val="none" w:sz="0" w:space="0" w:color="auto"/>
                            <w:right w:val="none" w:sz="0" w:space="0" w:color="auto"/>
                          </w:divBdr>
                          <w:divsChild>
                            <w:div w:id="2348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62177973">
      <w:bodyDiv w:val="1"/>
      <w:marLeft w:val="0"/>
      <w:marRight w:val="0"/>
      <w:marTop w:val="0"/>
      <w:marBottom w:val="0"/>
      <w:divBdr>
        <w:top w:val="none" w:sz="0" w:space="0" w:color="auto"/>
        <w:left w:val="none" w:sz="0" w:space="0" w:color="auto"/>
        <w:bottom w:val="none" w:sz="0" w:space="0" w:color="auto"/>
        <w:right w:val="none" w:sz="0" w:space="0" w:color="auto"/>
      </w:divBdr>
      <w:divsChild>
        <w:div w:id="1920744983">
          <w:marLeft w:val="0"/>
          <w:marRight w:val="0"/>
          <w:marTop w:val="0"/>
          <w:marBottom w:val="0"/>
          <w:divBdr>
            <w:top w:val="none" w:sz="0" w:space="0" w:color="auto"/>
            <w:left w:val="none" w:sz="0" w:space="0" w:color="auto"/>
            <w:bottom w:val="none" w:sz="0" w:space="0" w:color="auto"/>
            <w:right w:val="none" w:sz="0" w:space="0" w:color="auto"/>
          </w:divBdr>
          <w:divsChild>
            <w:div w:id="1998801107">
              <w:marLeft w:val="0"/>
              <w:marRight w:val="0"/>
              <w:marTop w:val="0"/>
              <w:marBottom w:val="0"/>
              <w:divBdr>
                <w:top w:val="none" w:sz="0" w:space="0" w:color="auto"/>
                <w:left w:val="none" w:sz="0" w:space="0" w:color="auto"/>
                <w:bottom w:val="none" w:sz="0" w:space="0" w:color="auto"/>
                <w:right w:val="none" w:sz="0" w:space="0" w:color="auto"/>
              </w:divBdr>
              <w:divsChild>
                <w:div w:id="861864116">
                  <w:marLeft w:val="0"/>
                  <w:marRight w:val="0"/>
                  <w:marTop w:val="0"/>
                  <w:marBottom w:val="0"/>
                  <w:divBdr>
                    <w:top w:val="none" w:sz="0" w:space="0" w:color="auto"/>
                    <w:left w:val="none" w:sz="0" w:space="0" w:color="auto"/>
                    <w:bottom w:val="none" w:sz="0" w:space="0" w:color="auto"/>
                    <w:right w:val="none" w:sz="0" w:space="0" w:color="auto"/>
                  </w:divBdr>
                  <w:divsChild>
                    <w:div w:id="267469833">
                      <w:marLeft w:val="0"/>
                      <w:marRight w:val="0"/>
                      <w:marTop w:val="0"/>
                      <w:marBottom w:val="0"/>
                      <w:divBdr>
                        <w:top w:val="none" w:sz="0" w:space="0" w:color="auto"/>
                        <w:left w:val="none" w:sz="0" w:space="0" w:color="auto"/>
                        <w:bottom w:val="none" w:sz="0" w:space="0" w:color="auto"/>
                        <w:right w:val="none" w:sz="0" w:space="0" w:color="auto"/>
                      </w:divBdr>
                      <w:divsChild>
                        <w:div w:id="208300156">
                          <w:marLeft w:val="0"/>
                          <w:marRight w:val="0"/>
                          <w:marTop w:val="0"/>
                          <w:marBottom w:val="0"/>
                          <w:divBdr>
                            <w:top w:val="none" w:sz="0" w:space="0" w:color="auto"/>
                            <w:left w:val="none" w:sz="0" w:space="0" w:color="auto"/>
                            <w:bottom w:val="none" w:sz="0" w:space="0" w:color="auto"/>
                            <w:right w:val="none" w:sz="0" w:space="0" w:color="auto"/>
                          </w:divBdr>
                          <w:divsChild>
                            <w:div w:id="1186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05733">
      <w:bodyDiv w:val="1"/>
      <w:marLeft w:val="0"/>
      <w:marRight w:val="0"/>
      <w:marTop w:val="0"/>
      <w:marBottom w:val="0"/>
      <w:divBdr>
        <w:top w:val="none" w:sz="0" w:space="0" w:color="auto"/>
        <w:left w:val="none" w:sz="0" w:space="0" w:color="auto"/>
        <w:bottom w:val="none" w:sz="0" w:space="0" w:color="auto"/>
        <w:right w:val="none" w:sz="0" w:space="0" w:color="auto"/>
      </w:divBdr>
      <w:divsChild>
        <w:div w:id="236788472">
          <w:marLeft w:val="0"/>
          <w:marRight w:val="0"/>
          <w:marTop w:val="0"/>
          <w:marBottom w:val="0"/>
          <w:divBdr>
            <w:top w:val="none" w:sz="0" w:space="0" w:color="auto"/>
            <w:left w:val="none" w:sz="0" w:space="0" w:color="auto"/>
            <w:bottom w:val="none" w:sz="0" w:space="0" w:color="auto"/>
            <w:right w:val="none" w:sz="0" w:space="0" w:color="auto"/>
          </w:divBdr>
          <w:divsChild>
            <w:div w:id="14002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325">
      <w:bodyDiv w:val="1"/>
      <w:marLeft w:val="0"/>
      <w:marRight w:val="0"/>
      <w:marTop w:val="0"/>
      <w:marBottom w:val="0"/>
      <w:divBdr>
        <w:top w:val="none" w:sz="0" w:space="0" w:color="auto"/>
        <w:left w:val="none" w:sz="0" w:space="0" w:color="auto"/>
        <w:bottom w:val="none" w:sz="0" w:space="0" w:color="auto"/>
        <w:right w:val="none" w:sz="0" w:space="0" w:color="auto"/>
      </w:divBdr>
    </w:div>
    <w:div w:id="709501675">
      <w:bodyDiv w:val="1"/>
      <w:marLeft w:val="0"/>
      <w:marRight w:val="0"/>
      <w:marTop w:val="0"/>
      <w:marBottom w:val="0"/>
      <w:divBdr>
        <w:top w:val="none" w:sz="0" w:space="0" w:color="auto"/>
        <w:left w:val="none" w:sz="0" w:space="0" w:color="auto"/>
        <w:bottom w:val="none" w:sz="0" w:space="0" w:color="auto"/>
        <w:right w:val="none" w:sz="0" w:space="0" w:color="auto"/>
      </w:divBdr>
    </w:div>
    <w:div w:id="719985469">
      <w:bodyDiv w:val="1"/>
      <w:marLeft w:val="0"/>
      <w:marRight w:val="0"/>
      <w:marTop w:val="0"/>
      <w:marBottom w:val="0"/>
      <w:divBdr>
        <w:top w:val="none" w:sz="0" w:space="0" w:color="auto"/>
        <w:left w:val="none" w:sz="0" w:space="0" w:color="auto"/>
        <w:bottom w:val="none" w:sz="0" w:space="0" w:color="auto"/>
        <w:right w:val="none" w:sz="0" w:space="0" w:color="auto"/>
      </w:divBdr>
    </w:div>
    <w:div w:id="725950308">
      <w:bodyDiv w:val="1"/>
      <w:marLeft w:val="0"/>
      <w:marRight w:val="0"/>
      <w:marTop w:val="0"/>
      <w:marBottom w:val="0"/>
      <w:divBdr>
        <w:top w:val="none" w:sz="0" w:space="0" w:color="auto"/>
        <w:left w:val="none" w:sz="0" w:space="0" w:color="auto"/>
        <w:bottom w:val="none" w:sz="0" w:space="0" w:color="auto"/>
        <w:right w:val="none" w:sz="0" w:space="0" w:color="auto"/>
      </w:divBdr>
      <w:divsChild>
        <w:div w:id="964972010">
          <w:marLeft w:val="0"/>
          <w:marRight w:val="0"/>
          <w:marTop w:val="0"/>
          <w:marBottom w:val="0"/>
          <w:divBdr>
            <w:top w:val="none" w:sz="0" w:space="0" w:color="auto"/>
            <w:left w:val="none" w:sz="0" w:space="0" w:color="auto"/>
            <w:bottom w:val="none" w:sz="0" w:space="0" w:color="auto"/>
            <w:right w:val="none" w:sz="0" w:space="0" w:color="auto"/>
          </w:divBdr>
          <w:divsChild>
            <w:div w:id="127668487">
              <w:marLeft w:val="0"/>
              <w:marRight w:val="0"/>
              <w:marTop w:val="0"/>
              <w:marBottom w:val="0"/>
              <w:divBdr>
                <w:top w:val="none" w:sz="0" w:space="0" w:color="auto"/>
                <w:left w:val="none" w:sz="0" w:space="0" w:color="auto"/>
                <w:bottom w:val="none" w:sz="0" w:space="0" w:color="auto"/>
                <w:right w:val="none" w:sz="0" w:space="0" w:color="auto"/>
              </w:divBdr>
              <w:divsChild>
                <w:div w:id="992416556">
                  <w:marLeft w:val="0"/>
                  <w:marRight w:val="0"/>
                  <w:marTop w:val="0"/>
                  <w:marBottom w:val="0"/>
                  <w:divBdr>
                    <w:top w:val="none" w:sz="0" w:space="0" w:color="auto"/>
                    <w:left w:val="none" w:sz="0" w:space="0" w:color="auto"/>
                    <w:bottom w:val="none" w:sz="0" w:space="0" w:color="auto"/>
                    <w:right w:val="none" w:sz="0" w:space="0" w:color="auto"/>
                  </w:divBdr>
                  <w:divsChild>
                    <w:div w:id="51005139">
                      <w:marLeft w:val="0"/>
                      <w:marRight w:val="0"/>
                      <w:marTop w:val="0"/>
                      <w:marBottom w:val="0"/>
                      <w:divBdr>
                        <w:top w:val="none" w:sz="0" w:space="0" w:color="auto"/>
                        <w:left w:val="none" w:sz="0" w:space="0" w:color="auto"/>
                        <w:bottom w:val="none" w:sz="0" w:space="0" w:color="auto"/>
                        <w:right w:val="none" w:sz="0" w:space="0" w:color="auto"/>
                      </w:divBdr>
                      <w:divsChild>
                        <w:div w:id="1746149191">
                          <w:marLeft w:val="0"/>
                          <w:marRight w:val="0"/>
                          <w:marTop w:val="0"/>
                          <w:marBottom w:val="0"/>
                          <w:divBdr>
                            <w:top w:val="none" w:sz="0" w:space="0" w:color="auto"/>
                            <w:left w:val="none" w:sz="0" w:space="0" w:color="auto"/>
                            <w:bottom w:val="none" w:sz="0" w:space="0" w:color="auto"/>
                            <w:right w:val="none" w:sz="0" w:space="0" w:color="auto"/>
                          </w:divBdr>
                          <w:divsChild>
                            <w:div w:id="683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82881">
      <w:bodyDiv w:val="1"/>
      <w:marLeft w:val="0"/>
      <w:marRight w:val="0"/>
      <w:marTop w:val="0"/>
      <w:marBottom w:val="0"/>
      <w:divBdr>
        <w:top w:val="none" w:sz="0" w:space="0" w:color="auto"/>
        <w:left w:val="none" w:sz="0" w:space="0" w:color="auto"/>
        <w:bottom w:val="none" w:sz="0" w:space="0" w:color="auto"/>
        <w:right w:val="none" w:sz="0" w:space="0" w:color="auto"/>
      </w:divBdr>
      <w:divsChild>
        <w:div w:id="1470517328">
          <w:marLeft w:val="0"/>
          <w:marRight w:val="0"/>
          <w:marTop w:val="0"/>
          <w:marBottom w:val="0"/>
          <w:divBdr>
            <w:top w:val="none" w:sz="0" w:space="0" w:color="auto"/>
            <w:left w:val="none" w:sz="0" w:space="0" w:color="auto"/>
            <w:bottom w:val="none" w:sz="0" w:space="0" w:color="auto"/>
            <w:right w:val="none" w:sz="0" w:space="0" w:color="auto"/>
          </w:divBdr>
          <w:divsChild>
            <w:div w:id="1309555415">
              <w:marLeft w:val="0"/>
              <w:marRight w:val="0"/>
              <w:marTop w:val="0"/>
              <w:marBottom w:val="0"/>
              <w:divBdr>
                <w:top w:val="none" w:sz="0" w:space="0" w:color="auto"/>
                <w:left w:val="none" w:sz="0" w:space="0" w:color="auto"/>
                <w:bottom w:val="none" w:sz="0" w:space="0" w:color="auto"/>
                <w:right w:val="none" w:sz="0" w:space="0" w:color="auto"/>
              </w:divBdr>
              <w:divsChild>
                <w:div w:id="658537469">
                  <w:marLeft w:val="0"/>
                  <w:marRight w:val="0"/>
                  <w:marTop w:val="0"/>
                  <w:marBottom w:val="0"/>
                  <w:divBdr>
                    <w:top w:val="none" w:sz="0" w:space="0" w:color="auto"/>
                    <w:left w:val="none" w:sz="0" w:space="0" w:color="auto"/>
                    <w:bottom w:val="none" w:sz="0" w:space="0" w:color="auto"/>
                    <w:right w:val="none" w:sz="0" w:space="0" w:color="auto"/>
                  </w:divBdr>
                  <w:divsChild>
                    <w:div w:id="329909556">
                      <w:marLeft w:val="0"/>
                      <w:marRight w:val="0"/>
                      <w:marTop w:val="0"/>
                      <w:marBottom w:val="0"/>
                      <w:divBdr>
                        <w:top w:val="none" w:sz="0" w:space="0" w:color="auto"/>
                        <w:left w:val="none" w:sz="0" w:space="0" w:color="auto"/>
                        <w:bottom w:val="none" w:sz="0" w:space="0" w:color="auto"/>
                        <w:right w:val="none" w:sz="0" w:space="0" w:color="auto"/>
                      </w:divBdr>
                      <w:divsChild>
                        <w:div w:id="1822193059">
                          <w:marLeft w:val="0"/>
                          <w:marRight w:val="0"/>
                          <w:marTop w:val="0"/>
                          <w:marBottom w:val="0"/>
                          <w:divBdr>
                            <w:top w:val="none" w:sz="0" w:space="0" w:color="auto"/>
                            <w:left w:val="none" w:sz="0" w:space="0" w:color="auto"/>
                            <w:bottom w:val="none" w:sz="0" w:space="0" w:color="auto"/>
                            <w:right w:val="none" w:sz="0" w:space="0" w:color="auto"/>
                          </w:divBdr>
                          <w:divsChild>
                            <w:div w:id="18194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96546">
      <w:bodyDiv w:val="1"/>
      <w:marLeft w:val="0"/>
      <w:marRight w:val="0"/>
      <w:marTop w:val="0"/>
      <w:marBottom w:val="0"/>
      <w:divBdr>
        <w:top w:val="none" w:sz="0" w:space="0" w:color="auto"/>
        <w:left w:val="none" w:sz="0" w:space="0" w:color="auto"/>
        <w:bottom w:val="none" w:sz="0" w:space="0" w:color="auto"/>
        <w:right w:val="none" w:sz="0" w:space="0" w:color="auto"/>
      </w:divBdr>
      <w:divsChild>
        <w:div w:id="1557622096">
          <w:marLeft w:val="0"/>
          <w:marRight w:val="0"/>
          <w:marTop w:val="0"/>
          <w:marBottom w:val="0"/>
          <w:divBdr>
            <w:top w:val="none" w:sz="0" w:space="0" w:color="auto"/>
            <w:left w:val="none" w:sz="0" w:space="0" w:color="auto"/>
            <w:bottom w:val="none" w:sz="0" w:space="0" w:color="auto"/>
            <w:right w:val="none" w:sz="0" w:space="0" w:color="auto"/>
          </w:divBdr>
          <w:divsChild>
            <w:div w:id="2010206303">
              <w:marLeft w:val="0"/>
              <w:marRight w:val="0"/>
              <w:marTop w:val="0"/>
              <w:marBottom w:val="0"/>
              <w:divBdr>
                <w:top w:val="none" w:sz="0" w:space="0" w:color="auto"/>
                <w:left w:val="none" w:sz="0" w:space="0" w:color="auto"/>
                <w:bottom w:val="none" w:sz="0" w:space="0" w:color="auto"/>
                <w:right w:val="none" w:sz="0" w:space="0" w:color="auto"/>
              </w:divBdr>
              <w:divsChild>
                <w:div w:id="859508443">
                  <w:marLeft w:val="0"/>
                  <w:marRight w:val="0"/>
                  <w:marTop w:val="0"/>
                  <w:marBottom w:val="0"/>
                  <w:divBdr>
                    <w:top w:val="none" w:sz="0" w:space="0" w:color="auto"/>
                    <w:left w:val="none" w:sz="0" w:space="0" w:color="auto"/>
                    <w:bottom w:val="none" w:sz="0" w:space="0" w:color="auto"/>
                    <w:right w:val="none" w:sz="0" w:space="0" w:color="auto"/>
                  </w:divBdr>
                  <w:divsChild>
                    <w:div w:id="159270191">
                      <w:marLeft w:val="0"/>
                      <w:marRight w:val="0"/>
                      <w:marTop w:val="0"/>
                      <w:marBottom w:val="0"/>
                      <w:divBdr>
                        <w:top w:val="none" w:sz="0" w:space="0" w:color="auto"/>
                        <w:left w:val="none" w:sz="0" w:space="0" w:color="auto"/>
                        <w:bottom w:val="none" w:sz="0" w:space="0" w:color="auto"/>
                        <w:right w:val="none" w:sz="0" w:space="0" w:color="auto"/>
                      </w:divBdr>
                      <w:divsChild>
                        <w:div w:id="2090493756">
                          <w:marLeft w:val="0"/>
                          <w:marRight w:val="0"/>
                          <w:marTop w:val="0"/>
                          <w:marBottom w:val="0"/>
                          <w:divBdr>
                            <w:top w:val="none" w:sz="0" w:space="0" w:color="auto"/>
                            <w:left w:val="none" w:sz="0" w:space="0" w:color="auto"/>
                            <w:bottom w:val="none" w:sz="0" w:space="0" w:color="auto"/>
                            <w:right w:val="none" w:sz="0" w:space="0" w:color="auto"/>
                          </w:divBdr>
                          <w:divsChild>
                            <w:div w:id="18284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24399">
      <w:bodyDiv w:val="1"/>
      <w:marLeft w:val="0"/>
      <w:marRight w:val="0"/>
      <w:marTop w:val="0"/>
      <w:marBottom w:val="0"/>
      <w:divBdr>
        <w:top w:val="none" w:sz="0" w:space="0" w:color="auto"/>
        <w:left w:val="none" w:sz="0" w:space="0" w:color="auto"/>
        <w:bottom w:val="none" w:sz="0" w:space="0" w:color="auto"/>
        <w:right w:val="none" w:sz="0" w:space="0" w:color="auto"/>
      </w:divBdr>
    </w:div>
    <w:div w:id="830943972">
      <w:bodyDiv w:val="1"/>
      <w:marLeft w:val="0"/>
      <w:marRight w:val="0"/>
      <w:marTop w:val="0"/>
      <w:marBottom w:val="0"/>
      <w:divBdr>
        <w:top w:val="none" w:sz="0" w:space="0" w:color="auto"/>
        <w:left w:val="none" w:sz="0" w:space="0" w:color="auto"/>
        <w:bottom w:val="none" w:sz="0" w:space="0" w:color="auto"/>
        <w:right w:val="none" w:sz="0" w:space="0" w:color="auto"/>
      </w:divBdr>
    </w:div>
    <w:div w:id="838230330">
      <w:bodyDiv w:val="1"/>
      <w:marLeft w:val="0"/>
      <w:marRight w:val="0"/>
      <w:marTop w:val="0"/>
      <w:marBottom w:val="0"/>
      <w:divBdr>
        <w:top w:val="none" w:sz="0" w:space="0" w:color="auto"/>
        <w:left w:val="none" w:sz="0" w:space="0" w:color="auto"/>
        <w:bottom w:val="none" w:sz="0" w:space="0" w:color="auto"/>
        <w:right w:val="none" w:sz="0" w:space="0" w:color="auto"/>
      </w:divBdr>
    </w:div>
    <w:div w:id="843979499">
      <w:bodyDiv w:val="1"/>
      <w:marLeft w:val="0"/>
      <w:marRight w:val="0"/>
      <w:marTop w:val="0"/>
      <w:marBottom w:val="0"/>
      <w:divBdr>
        <w:top w:val="none" w:sz="0" w:space="0" w:color="auto"/>
        <w:left w:val="none" w:sz="0" w:space="0" w:color="auto"/>
        <w:bottom w:val="none" w:sz="0" w:space="0" w:color="auto"/>
        <w:right w:val="none" w:sz="0" w:space="0" w:color="auto"/>
      </w:divBdr>
      <w:divsChild>
        <w:div w:id="591621529">
          <w:marLeft w:val="0"/>
          <w:marRight w:val="0"/>
          <w:marTop w:val="0"/>
          <w:marBottom w:val="0"/>
          <w:divBdr>
            <w:top w:val="none" w:sz="0" w:space="0" w:color="auto"/>
            <w:left w:val="none" w:sz="0" w:space="0" w:color="auto"/>
            <w:bottom w:val="none" w:sz="0" w:space="0" w:color="auto"/>
            <w:right w:val="none" w:sz="0" w:space="0" w:color="auto"/>
          </w:divBdr>
          <w:divsChild>
            <w:div w:id="1544370561">
              <w:marLeft w:val="0"/>
              <w:marRight w:val="0"/>
              <w:marTop w:val="0"/>
              <w:marBottom w:val="0"/>
              <w:divBdr>
                <w:top w:val="none" w:sz="0" w:space="0" w:color="auto"/>
                <w:left w:val="none" w:sz="0" w:space="0" w:color="auto"/>
                <w:bottom w:val="none" w:sz="0" w:space="0" w:color="auto"/>
                <w:right w:val="none" w:sz="0" w:space="0" w:color="auto"/>
              </w:divBdr>
              <w:divsChild>
                <w:div w:id="1870530623">
                  <w:marLeft w:val="0"/>
                  <w:marRight w:val="0"/>
                  <w:marTop w:val="0"/>
                  <w:marBottom w:val="0"/>
                  <w:divBdr>
                    <w:top w:val="none" w:sz="0" w:space="0" w:color="auto"/>
                    <w:left w:val="none" w:sz="0" w:space="0" w:color="auto"/>
                    <w:bottom w:val="none" w:sz="0" w:space="0" w:color="auto"/>
                    <w:right w:val="none" w:sz="0" w:space="0" w:color="auto"/>
                  </w:divBdr>
                  <w:divsChild>
                    <w:div w:id="1257978316">
                      <w:marLeft w:val="0"/>
                      <w:marRight w:val="0"/>
                      <w:marTop w:val="0"/>
                      <w:marBottom w:val="0"/>
                      <w:divBdr>
                        <w:top w:val="none" w:sz="0" w:space="0" w:color="auto"/>
                        <w:left w:val="none" w:sz="0" w:space="0" w:color="auto"/>
                        <w:bottom w:val="none" w:sz="0" w:space="0" w:color="auto"/>
                        <w:right w:val="none" w:sz="0" w:space="0" w:color="auto"/>
                      </w:divBdr>
                      <w:divsChild>
                        <w:div w:id="1074935320">
                          <w:marLeft w:val="0"/>
                          <w:marRight w:val="0"/>
                          <w:marTop w:val="0"/>
                          <w:marBottom w:val="0"/>
                          <w:divBdr>
                            <w:top w:val="none" w:sz="0" w:space="0" w:color="auto"/>
                            <w:left w:val="none" w:sz="0" w:space="0" w:color="auto"/>
                            <w:bottom w:val="none" w:sz="0" w:space="0" w:color="auto"/>
                            <w:right w:val="none" w:sz="0" w:space="0" w:color="auto"/>
                          </w:divBdr>
                          <w:divsChild>
                            <w:div w:id="1343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92867">
      <w:bodyDiv w:val="1"/>
      <w:marLeft w:val="0"/>
      <w:marRight w:val="0"/>
      <w:marTop w:val="0"/>
      <w:marBottom w:val="0"/>
      <w:divBdr>
        <w:top w:val="none" w:sz="0" w:space="0" w:color="auto"/>
        <w:left w:val="none" w:sz="0" w:space="0" w:color="auto"/>
        <w:bottom w:val="none" w:sz="0" w:space="0" w:color="auto"/>
        <w:right w:val="none" w:sz="0" w:space="0" w:color="auto"/>
      </w:divBdr>
    </w:div>
    <w:div w:id="915046252">
      <w:bodyDiv w:val="1"/>
      <w:marLeft w:val="0"/>
      <w:marRight w:val="0"/>
      <w:marTop w:val="0"/>
      <w:marBottom w:val="0"/>
      <w:divBdr>
        <w:top w:val="none" w:sz="0" w:space="0" w:color="auto"/>
        <w:left w:val="none" w:sz="0" w:space="0" w:color="auto"/>
        <w:bottom w:val="none" w:sz="0" w:space="0" w:color="auto"/>
        <w:right w:val="none" w:sz="0" w:space="0" w:color="auto"/>
      </w:divBdr>
      <w:divsChild>
        <w:div w:id="1260530836">
          <w:marLeft w:val="0"/>
          <w:marRight w:val="0"/>
          <w:marTop w:val="0"/>
          <w:marBottom w:val="0"/>
          <w:divBdr>
            <w:top w:val="none" w:sz="0" w:space="0" w:color="auto"/>
            <w:left w:val="none" w:sz="0" w:space="0" w:color="auto"/>
            <w:bottom w:val="none" w:sz="0" w:space="0" w:color="auto"/>
            <w:right w:val="none" w:sz="0" w:space="0" w:color="auto"/>
          </w:divBdr>
          <w:divsChild>
            <w:div w:id="2073306340">
              <w:marLeft w:val="0"/>
              <w:marRight w:val="0"/>
              <w:marTop w:val="0"/>
              <w:marBottom w:val="0"/>
              <w:divBdr>
                <w:top w:val="none" w:sz="0" w:space="0" w:color="auto"/>
                <w:left w:val="none" w:sz="0" w:space="0" w:color="auto"/>
                <w:bottom w:val="none" w:sz="0" w:space="0" w:color="auto"/>
                <w:right w:val="none" w:sz="0" w:space="0" w:color="auto"/>
              </w:divBdr>
              <w:divsChild>
                <w:div w:id="666830061">
                  <w:marLeft w:val="0"/>
                  <w:marRight w:val="0"/>
                  <w:marTop w:val="0"/>
                  <w:marBottom w:val="0"/>
                  <w:divBdr>
                    <w:top w:val="none" w:sz="0" w:space="0" w:color="auto"/>
                    <w:left w:val="none" w:sz="0" w:space="0" w:color="auto"/>
                    <w:bottom w:val="none" w:sz="0" w:space="0" w:color="auto"/>
                    <w:right w:val="none" w:sz="0" w:space="0" w:color="auto"/>
                  </w:divBdr>
                  <w:divsChild>
                    <w:div w:id="1048645110">
                      <w:marLeft w:val="0"/>
                      <w:marRight w:val="0"/>
                      <w:marTop w:val="0"/>
                      <w:marBottom w:val="0"/>
                      <w:divBdr>
                        <w:top w:val="none" w:sz="0" w:space="0" w:color="auto"/>
                        <w:left w:val="none" w:sz="0" w:space="0" w:color="auto"/>
                        <w:bottom w:val="none" w:sz="0" w:space="0" w:color="auto"/>
                        <w:right w:val="none" w:sz="0" w:space="0" w:color="auto"/>
                      </w:divBdr>
                      <w:divsChild>
                        <w:div w:id="1503008674">
                          <w:marLeft w:val="0"/>
                          <w:marRight w:val="0"/>
                          <w:marTop w:val="0"/>
                          <w:marBottom w:val="0"/>
                          <w:divBdr>
                            <w:top w:val="none" w:sz="0" w:space="0" w:color="auto"/>
                            <w:left w:val="none" w:sz="0" w:space="0" w:color="auto"/>
                            <w:bottom w:val="none" w:sz="0" w:space="0" w:color="auto"/>
                            <w:right w:val="none" w:sz="0" w:space="0" w:color="auto"/>
                          </w:divBdr>
                          <w:divsChild>
                            <w:div w:id="390814288">
                              <w:marLeft w:val="0"/>
                              <w:marRight w:val="0"/>
                              <w:marTop w:val="0"/>
                              <w:marBottom w:val="0"/>
                              <w:divBdr>
                                <w:top w:val="none" w:sz="0" w:space="0" w:color="auto"/>
                                <w:left w:val="none" w:sz="0" w:space="0" w:color="auto"/>
                                <w:bottom w:val="none" w:sz="0" w:space="0" w:color="auto"/>
                                <w:right w:val="none" w:sz="0" w:space="0" w:color="auto"/>
                              </w:divBdr>
                              <w:divsChild>
                                <w:div w:id="90928824">
                                  <w:marLeft w:val="0"/>
                                  <w:marRight w:val="0"/>
                                  <w:marTop w:val="0"/>
                                  <w:marBottom w:val="0"/>
                                  <w:divBdr>
                                    <w:top w:val="none" w:sz="0" w:space="0" w:color="auto"/>
                                    <w:left w:val="none" w:sz="0" w:space="0" w:color="auto"/>
                                    <w:bottom w:val="none" w:sz="0" w:space="0" w:color="auto"/>
                                    <w:right w:val="none" w:sz="0" w:space="0" w:color="auto"/>
                                  </w:divBdr>
                                  <w:divsChild>
                                    <w:div w:id="1898857216">
                                      <w:marLeft w:val="0"/>
                                      <w:marRight w:val="0"/>
                                      <w:marTop w:val="0"/>
                                      <w:marBottom w:val="0"/>
                                      <w:divBdr>
                                        <w:top w:val="none" w:sz="0" w:space="0" w:color="auto"/>
                                        <w:left w:val="none" w:sz="0" w:space="0" w:color="auto"/>
                                        <w:bottom w:val="none" w:sz="0" w:space="0" w:color="auto"/>
                                        <w:right w:val="none" w:sz="0" w:space="0" w:color="auto"/>
                                      </w:divBdr>
                                      <w:divsChild>
                                        <w:div w:id="1546335669">
                                          <w:marLeft w:val="0"/>
                                          <w:marRight w:val="0"/>
                                          <w:marTop w:val="0"/>
                                          <w:marBottom w:val="0"/>
                                          <w:divBdr>
                                            <w:top w:val="none" w:sz="0" w:space="0" w:color="auto"/>
                                            <w:left w:val="none" w:sz="0" w:space="0" w:color="auto"/>
                                            <w:bottom w:val="none" w:sz="0" w:space="0" w:color="auto"/>
                                            <w:right w:val="none" w:sz="0" w:space="0" w:color="auto"/>
                                          </w:divBdr>
                                          <w:divsChild>
                                            <w:div w:id="1104112953">
                                              <w:marLeft w:val="0"/>
                                              <w:marRight w:val="0"/>
                                              <w:marTop w:val="165"/>
                                              <w:marBottom w:val="165"/>
                                              <w:divBdr>
                                                <w:top w:val="none" w:sz="0" w:space="0" w:color="auto"/>
                                                <w:left w:val="none" w:sz="0" w:space="0" w:color="auto"/>
                                                <w:bottom w:val="none" w:sz="0" w:space="0" w:color="auto"/>
                                                <w:right w:val="none" w:sz="0" w:space="0" w:color="auto"/>
                                              </w:divBdr>
                                              <w:divsChild>
                                                <w:div w:id="545411983">
                                                  <w:marLeft w:val="0"/>
                                                  <w:marRight w:val="0"/>
                                                  <w:marTop w:val="0"/>
                                                  <w:marBottom w:val="0"/>
                                                  <w:divBdr>
                                                    <w:top w:val="none" w:sz="0" w:space="0" w:color="auto"/>
                                                    <w:left w:val="none" w:sz="0" w:space="0" w:color="auto"/>
                                                    <w:bottom w:val="none" w:sz="0" w:space="0" w:color="auto"/>
                                                    <w:right w:val="none" w:sz="0" w:space="0" w:color="auto"/>
                                                  </w:divBdr>
                                                  <w:divsChild>
                                                    <w:div w:id="375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090712">
      <w:bodyDiv w:val="1"/>
      <w:marLeft w:val="0"/>
      <w:marRight w:val="0"/>
      <w:marTop w:val="0"/>
      <w:marBottom w:val="0"/>
      <w:divBdr>
        <w:top w:val="none" w:sz="0" w:space="0" w:color="auto"/>
        <w:left w:val="none" w:sz="0" w:space="0" w:color="auto"/>
        <w:bottom w:val="none" w:sz="0" w:space="0" w:color="auto"/>
        <w:right w:val="none" w:sz="0" w:space="0" w:color="auto"/>
      </w:divBdr>
    </w:div>
    <w:div w:id="939220690">
      <w:bodyDiv w:val="1"/>
      <w:marLeft w:val="0"/>
      <w:marRight w:val="0"/>
      <w:marTop w:val="0"/>
      <w:marBottom w:val="0"/>
      <w:divBdr>
        <w:top w:val="none" w:sz="0" w:space="0" w:color="auto"/>
        <w:left w:val="none" w:sz="0" w:space="0" w:color="auto"/>
        <w:bottom w:val="none" w:sz="0" w:space="0" w:color="auto"/>
        <w:right w:val="none" w:sz="0" w:space="0" w:color="auto"/>
      </w:divBdr>
    </w:div>
    <w:div w:id="997031894">
      <w:bodyDiv w:val="1"/>
      <w:marLeft w:val="0"/>
      <w:marRight w:val="0"/>
      <w:marTop w:val="0"/>
      <w:marBottom w:val="0"/>
      <w:divBdr>
        <w:top w:val="none" w:sz="0" w:space="0" w:color="auto"/>
        <w:left w:val="none" w:sz="0" w:space="0" w:color="auto"/>
        <w:bottom w:val="none" w:sz="0" w:space="0" w:color="auto"/>
        <w:right w:val="none" w:sz="0" w:space="0" w:color="auto"/>
      </w:divBdr>
      <w:divsChild>
        <w:div w:id="1702052126">
          <w:marLeft w:val="0"/>
          <w:marRight w:val="0"/>
          <w:marTop w:val="0"/>
          <w:marBottom w:val="0"/>
          <w:divBdr>
            <w:top w:val="single" w:sz="6" w:space="0" w:color="666666"/>
            <w:left w:val="single" w:sz="6" w:space="0" w:color="666666"/>
            <w:bottom w:val="single" w:sz="6" w:space="0" w:color="666666"/>
            <w:right w:val="single" w:sz="6" w:space="0" w:color="666666"/>
          </w:divBdr>
          <w:divsChild>
            <w:div w:id="8669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0180">
      <w:bodyDiv w:val="1"/>
      <w:marLeft w:val="0"/>
      <w:marRight w:val="0"/>
      <w:marTop w:val="0"/>
      <w:marBottom w:val="0"/>
      <w:divBdr>
        <w:top w:val="none" w:sz="0" w:space="0" w:color="auto"/>
        <w:left w:val="none" w:sz="0" w:space="0" w:color="auto"/>
        <w:bottom w:val="none" w:sz="0" w:space="0" w:color="auto"/>
        <w:right w:val="none" w:sz="0" w:space="0" w:color="auto"/>
      </w:divBdr>
    </w:div>
    <w:div w:id="1023244772">
      <w:bodyDiv w:val="1"/>
      <w:marLeft w:val="0"/>
      <w:marRight w:val="0"/>
      <w:marTop w:val="0"/>
      <w:marBottom w:val="0"/>
      <w:divBdr>
        <w:top w:val="none" w:sz="0" w:space="0" w:color="auto"/>
        <w:left w:val="none" w:sz="0" w:space="0" w:color="auto"/>
        <w:bottom w:val="none" w:sz="0" w:space="0" w:color="auto"/>
        <w:right w:val="none" w:sz="0" w:space="0" w:color="auto"/>
      </w:divBdr>
      <w:divsChild>
        <w:div w:id="1408573454">
          <w:marLeft w:val="0"/>
          <w:marRight w:val="0"/>
          <w:marTop w:val="0"/>
          <w:marBottom w:val="0"/>
          <w:divBdr>
            <w:top w:val="none" w:sz="0" w:space="0" w:color="auto"/>
            <w:left w:val="none" w:sz="0" w:space="0" w:color="auto"/>
            <w:bottom w:val="none" w:sz="0" w:space="0" w:color="auto"/>
            <w:right w:val="none" w:sz="0" w:space="0" w:color="auto"/>
          </w:divBdr>
          <w:divsChild>
            <w:div w:id="14431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353">
      <w:bodyDiv w:val="1"/>
      <w:marLeft w:val="0"/>
      <w:marRight w:val="0"/>
      <w:marTop w:val="0"/>
      <w:marBottom w:val="0"/>
      <w:divBdr>
        <w:top w:val="none" w:sz="0" w:space="0" w:color="auto"/>
        <w:left w:val="none" w:sz="0" w:space="0" w:color="auto"/>
        <w:bottom w:val="none" w:sz="0" w:space="0" w:color="auto"/>
        <w:right w:val="none" w:sz="0" w:space="0" w:color="auto"/>
      </w:divBdr>
      <w:divsChild>
        <w:div w:id="2119252194">
          <w:marLeft w:val="0"/>
          <w:marRight w:val="0"/>
          <w:marTop w:val="0"/>
          <w:marBottom w:val="0"/>
          <w:divBdr>
            <w:top w:val="none" w:sz="0" w:space="0" w:color="auto"/>
            <w:left w:val="none" w:sz="0" w:space="0" w:color="auto"/>
            <w:bottom w:val="none" w:sz="0" w:space="0" w:color="auto"/>
            <w:right w:val="none" w:sz="0" w:space="0" w:color="auto"/>
          </w:divBdr>
        </w:div>
      </w:divsChild>
    </w:div>
    <w:div w:id="1085345658">
      <w:bodyDiv w:val="1"/>
      <w:marLeft w:val="0"/>
      <w:marRight w:val="0"/>
      <w:marTop w:val="0"/>
      <w:marBottom w:val="0"/>
      <w:divBdr>
        <w:top w:val="none" w:sz="0" w:space="0" w:color="auto"/>
        <w:left w:val="none" w:sz="0" w:space="0" w:color="auto"/>
        <w:bottom w:val="none" w:sz="0" w:space="0" w:color="auto"/>
        <w:right w:val="none" w:sz="0" w:space="0" w:color="auto"/>
      </w:divBdr>
      <w:divsChild>
        <w:div w:id="1983846230">
          <w:marLeft w:val="0"/>
          <w:marRight w:val="0"/>
          <w:marTop w:val="0"/>
          <w:marBottom w:val="0"/>
          <w:divBdr>
            <w:top w:val="none" w:sz="0" w:space="0" w:color="auto"/>
            <w:left w:val="none" w:sz="0" w:space="0" w:color="auto"/>
            <w:bottom w:val="none" w:sz="0" w:space="0" w:color="auto"/>
            <w:right w:val="none" w:sz="0" w:space="0" w:color="auto"/>
          </w:divBdr>
          <w:divsChild>
            <w:div w:id="1445878029">
              <w:marLeft w:val="0"/>
              <w:marRight w:val="0"/>
              <w:marTop w:val="0"/>
              <w:marBottom w:val="0"/>
              <w:divBdr>
                <w:top w:val="none" w:sz="0" w:space="0" w:color="auto"/>
                <w:left w:val="none" w:sz="0" w:space="0" w:color="auto"/>
                <w:bottom w:val="none" w:sz="0" w:space="0" w:color="auto"/>
                <w:right w:val="none" w:sz="0" w:space="0" w:color="auto"/>
              </w:divBdr>
              <w:divsChild>
                <w:div w:id="965281127">
                  <w:marLeft w:val="0"/>
                  <w:marRight w:val="0"/>
                  <w:marTop w:val="0"/>
                  <w:marBottom w:val="0"/>
                  <w:divBdr>
                    <w:top w:val="none" w:sz="0" w:space="0" w:color="auto"/>
                    <w:left w:val="none" w:sz="0" w:space="0" w:color="auto"/>
                    <w:bottom w:val="none" w:sz="0" w:space="0" w:color="auto"/>
                    <w:right w:val="none" w:sz="0" w:space="0" w:color="auto"/>
                  </w:divBdr>
                  <w:divsChild>
                    <w:div w:id="116486887">
                      <w:marLeft w:val="0"/>
                      <w:marRight w:val="0"/>
                      <w:marTop w:val="0"/>
                      <w:marBottom w:val="0"/>
                      <w:divBdr>
                        <w:top w:val="none" w:sz="0" w:space="0" w:color="auto"/>
                        <w:left w:val="none" w:sz="0" w:space="0" w:color="auto"/>
                        <w:bottom w:val="none" w:sz="0" w:space="0" w:color="auto"/>
                        <w:right w:val="none" w:sz="0" w:space="0" w:color="auto"/>
                      </w:divBdr>
                      <w:divsChild>
                        <w:div w:id="332223841">
                          <w:marLeft w:val="0"/>
                          <w:marRight w:val="0"/>
                          <w:marTop w:val="0"/>
                          <w:marBottom w:val="0"/>
                          <w:divBdr>
                            <w:top w:val="none" w:sz="0" w:space="0" w:color="auto"/>
                            <w:left w:val="none" w:sz="0" w:space="0" w:color="auto"/>
                            <w:bottom w:val="none" w:sz="0" w:space="0" w:color="auto"/>
                            <w:right w:val="none" w:sz="0" w:space="0" w:color="auto"/>
                          </w:divBdr>
                          <w:divsChild>
                            <w:div w:id="4958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0213">
      <w:bodyDiv w:val="1"/>
      <w:marLeft w:val="0"/>
      <w:marRight w:val="0"/>
      <w:marTop w:val="0"/>
      <w:marBottom w:val="0"/>
      <w:divBdr>
        <w:top w:val="none" w:sz="0" w:space="0" w:color="auto"/>
        <w:left w:val="none" w:sz="0" w:space="0" w:color="auto"/>
        <w:bottom w:val="none" w:sz="0" w:space="0" w:color="auto"/>
        <w:right w:val="none" w:sz="0" w:space="0" w:color="auto"/>
      </w:divBdr>
    </w:div>
    <w:div w:id="1154757574">
      <w:bodyDiv w:val="1"/>
      <w:marLeft w:val="0"/>
      <w:marRight w:val="0"/>
      <w:marTop w:val="0"/>
      <w:marBottom w:val="0"/>
      <w:divBdr>
        <w:top w:val="none" w:sz="0" w:space="0" w:color="auto"/>
        <w:left w:val="none" w:sz="0" w:space="0" w:color="auto"/>
        <w:bottom w:val="none" w:sz="0" w:space="0" w:color="auto"/>
        <w:right w:val="none" w:sz="0" w:space="0" w:color="auto"/>
      </w:divBdr>
      <w:divsChild>
        <w:div w:id="1308701391">
          <w:marLeft w:val="0"/>
          <w:marRight w:val="0"/>
          <w:marTop w:val="0"/>
          <w:marBottom w:val="0"/>
          <w:divBdr>
            <w:top w:val="single" w:sz="6" w:space="0" w:color="666666"/>
            <w:left w:val="single" w:sz="6" w:space="0" w:color="666666"/>
            <w:bottom w:val="single" w:sz="6" w:space="0" w:color="666666"/>
            <w:right w:val="single" w:sz="6" w:space="0" w:color="666666"/>
          </w:divBdr>
          <w:divsChild>
            <w:div w:id="1892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4663">
      <w:bodyDiv w:val="1"/>
      <w:marLeft w:val="0"/>
      <w:marRight w:val="0"/>
      <w:marTop w:val="0"/>
      <w:marBottom w:val="0"/>
      <w:divBdr>
        <w:top w:val="none" w:sz="0" w:space="0" w:color="auto"/>
        <w:left w:val="none" w:sz="0" w:space="0" w:color="auto"/>
        <w:bottom w:val="none" w:sz="0" w:space="0" w:color="auto"/>
        <w:right w:val="none" w:sz="0" w:space="0" w:color="auto"/>
      </w:divBdr>
      <w:divsChild>
        <w:div w:id="890578955">
          <w:marLeft w:val="0"/>
          <w:marRight w:val="0"/>
          <w:marTop w:val="0"/>
          <w:marBottom w:val="0"/>
          <w:divBdr>
            <w:top w:val="none" w:sz="0" w:space="0" w:color="auto"/>
            <w:left w:val="none" w:sz="0" w:space="0" w:color="auto"/>
            <w:bottom w:val="none" w:sz="0" w:space="0" w:color="auto"/>
            <w:right w:val="none" w:sz="0" w:space="0" w:color="auto"/>
          </w:divBdr>
          <w:divsChild>
            <w:div w:id="509879103">
              <w:marLeft w:val="0"/>
              <w:marRight w:val="0"/>
              <w:marTop w:val="0"/>
              <w:marBottom w:val="0"/>
              <w:divBdr>
                <w:top w:val="none" w:sz="0" w:space="0" w:color="auto"/>
                <w:left w:val="none" w:sz="0" w:space="0" w:color="auto"/>
                <w:bottom w:val="none" w:sz="0" w:space="0" w:color="auto"/>
                <w:right w:val="none" w:sz="0" w:space="0" w:color="auto"/>
              </w:divBdr>
              <w:divsChild>
                <w:div w:id="87624122">
                  <w:marLeft w:val="0"/>
                  <w:marRight w:val="0"/>
                  <w:marTop w:val="0"/>
                  <w:marBottom w:val="0"/>
                  <w:divBdr>
                    <w:top w:val="none" w:sz="0" w:space="0" w:color="auto"/>
                    <w:left w:val="none" w:sz="0" w:space="0" w:color="auto"/>
                    <w:bottom w:val="none" w:sz="0" w:space="0" w:color="auto"/>
                    <w:right w:val="none" w:sz="0" w:space="0" w:color="auto"/>
                  </w:divBdr>
                  <w:divsChild>
                    <w:div w:id="121970383">
                      <w:marLeft w:val="0"/>
                      <w:marRight w:val="0"/>
                      <w:marTop w:val="0"/>
                      <w:marBottom w:val="0"/>
                      <w:divBdr>
                        <w:top w:val="none" w:sz="0" w:space="0" w:color="auto"/>
                        <w:left w:val="none" w:sz="0" w:space="0" w:color="auto"/>
                        <w:bottom w:val="none" w:sz="0" w:space="0" w:color="auto"/>
                        <w:right w:val="none" w:sz="0" w:space="0" w:color="auto"/>
                      </w:divBdr>
                      <w:divsChild>
                        <w:div w:id="292946274">
                          <w:marLeft w:val="0"/>
                          <w:marRight w:val="0"/>
                          <w:marTop w:val="0"/>
                          <w:marBottom w:val="0"/>
                          <w:divBdr>
                            <w:top w:val="none" w:sz="0" w:space="0" w:color="auto"/>
                            <w:left w:val="none" w:sz="0" w:space="0" w:color="auto"/>
                            <w:bottom w:val="none" w:sz="0" w:space="0" w:color="auto"/>
                            <w:right w:val="none" w:sz="0" w:space="0" w:color="auto"/>
                          </w:divBdr>
                          <w:divsChild>
                            <w:div w:id="19129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21618">
      <w:bodyDiv w:val="1"/>
      <w:marLeft w:val="0"/>
      <w:marRight w:val="0"/>
      <w:marTop w:val="0"/>
      <w:marBottom w:val="0"/>
      <w:divBdr>
        <w:top w:val="none" w:sz="0" w:space="0" w:color="auto"/>
        <w:left w:val="none" w:sz="0" w:space="0" w:color="auto"/>
        <w:bottom w:val="none" w:sz="0" w:space="0" w:color="auto"/>
        <w:right w:val="none" w:sz="0" w:space="0" w:color="auto"/>
      </w:divBdr>
    </w:div>
    <w:div w:id="1335189547">
      <w:bodyDiv w:val="1"/>
      <w:marLeft w:val="0"/>
      <w:marRight w:val="0"/>
      <w:marTop w:val="0"/>
      <w:marBottom w:val="0"/>
      <w:divBdr>
        <w:top w:val="none" w:sz="0" w:space="0" w:color="auto"/>
        <w:left w:val="none" w:sz="0" w:space="0" w:color="auto"/>
        <w:bottom w:val="none" w:sz="0" w:space="0" w:color="auto"/>
        <w:right w:val="none" w:sz="0" w:space="0" w:color="auto"/>
      </w:divBdr>
    </w:div>
    <w:div w:id="1348170274">
      <w:bodyDiv w:val="1"/>
      <w:marLeft w:val="0"/>
      <w:marRight w:val="0"/>
      <w:marTop w:val="0"/>
      <w:marBottom w:val="0"/>
      <w:divBdr>
        <w:top w:val="none" w:sz="0" w:space="0" w:color="auto"/>
        <w:left w:val="none" w:sz="0" w:space="0" w:color="auto"/>
        <w:bottom w:val="none" w:sz="0" w:space="0" w:color="auto"/>
        <w:right w:val="none" w:sz="0" w:space="0" w:color="auto"/>
      </w:divBdr>
    </w:div>
    <w:div w:id="1356999483">
      <w:bodyDiv w:val="1"/>
      <w:marLeft w:val="0"/>
      <w:marRight w:val="0"/>
      <w:marTop w:val="0"/>
      <w:marBottom w:val="0"/>
      <w:divBdr>
        <w:top w:val="none" w:sz="0" w:space="0" w:color="auto"/>
        <w:left w:val="none" w:sz="0" w:space="0" w:color="auto"/>
        <w:bottom w:val="none" w:sz="0" w:space="0" w:color="auto"/>
        <w:right w:val="none" w:sz="0" w:space="0" w:color="auto"/>
      </w:divBdr>
    </w:div>
    <w:div w:id="1411583480">
      <w:bodyDiv w:val="1"/>
      <w:marLeft w:val="0"/>
      <w:marRight w:val="0"/>
      <w:marTop w:val="0"/>
      <w:marBottom w:val="0"/>
      <w:divBdr>
        <w:top w:val="none" w:sz="0" w:space="0" w:color="auto"/>
        <w:left w:val="none" w:sz="0" w:space="0" w:color="auto"/>
        <w:bottom w:val="none" w:sz="0" w:space="0" w:color="auto"/>
        <w:right w:val="none" w:sz="0" w:space="0" w:color="auto"/>
      </w:divBdr>
      <w:divsChild>
        <w:div w:id="268128754">
          <w:marLeft w:val="0"/>
          <w:marRight w:val="0"/>
          <w:marTop w:val="0"/>
          <w:marBottom w:val="0"/>
          <w:divBdr>
            <w:top w:val="none" w:sz="0" w:space="0" w:color="auto"/>
            <w:left w:val="none" w:sz="0" w:space="0" w:color="auto"/>
            <w:bottom w:val="none" w:sz="0" w:space="0" w:color="auto"/>
            <w:right w:val="none" w:sz="0" w:space="0" w:color="auto"/>
          </w:divBdr>
          <w:divsChild>
            <w:div w:id="1113479234">
              <w:marLeft w:val="0"/>
              <w:marRight w:val="0"/>
              <w:marTop w:val="0"/>
              <w:marBottom w:val="0"/>
              <w:divBdr>
                <w:top w:val="none" w:sz="0" w:space="0" w:color="auto"/>
                <w:left w:val="none" w:sz="0" w:space="0" w:color="auto"/>
                <w:bottom w:val="none" w:sz="0" w:space="0" w:color="auto"/>
                <w:right w:val="none" w:sz="0" w:space="0" w:color="auto"/>
              </w:divBdr>
              <w:divsChild>
                <w:div w:id="696390005">
                  <w:marLeft w:val="0"/>
                  <w:marRight w:val="0"/>
                  <w:marTop w:val="0"/>
                  <w:marBottom w:val="0"/>
                  <w:divBdr>
                    <w:top w:val="none" w:sz="0" w:space="0" w:color="auto"/>
                    <w:left w:val="none" w:sz="0" w:space="0" w:color="auto"/>
                    <w:bottom w:val="none" w:sz="0" w:space="0" w:color="auto"/>
                    <w:right w:val="none" w:sz="0" w:space="0" w:color="auto"/>
                  </w:divBdr>
                  <w:divsChild>
                    <w:div w:id="124665187">
                      <w:marLeft w:val="0"/>
                      <w:marRight w:val="0"/>
                      <w:marTop w:val="0"/>
                      <w:marBottom w:val="0"/>
                      <w:divBdr>
                        <w:top w:val="none" w:sz="0" w:space="0" w:color="auto"/>
                        <w:left w:val="none" w:sz="0" w:space="0" w:color="auto"/>
                        <w:bottom w:val="none" w:sz="0" w:space="0" w:color="auto"/>
                        <w:right w:val="none" w:sz="0" w:space="0" w:color="auto"/>
                      </w:divBdr>
                      <w:divsChild>
                        <w:div w:id="20132327">
                          <w:marLeft w:val="0"/>
                          <w:marRight w:val="0"/>
                          <w:marTop w:val="0"/>
                          <w:marBottom w:val="0"/>
                          <w:divBdr>
                            <w:top w:val="none" w:sz="0" w:space="0" w:color="auto"/>
                            <w:left w:val="none" w:sz="0" w:space="0" w:color="auto"/>
                            <w:bottom w:val="none" w:sz="0" w:space="0" w:color="auto"/>
                            <w:right w:val="none" w:sz="0" w:space="0" w:color="auto"/>
                          </w:divBdr>
                          <w:divsChild>
                            <w:div w:id="73745740">
                              <w:marLeft w:val="0"/>
                              <w:marRight w:val="0"/>
                              <w:marTop w:val="0"/>
                              <w:marBottom w:val="0"/>
                              <w:divBdr>
                                <w:top w:val="none" w:sz="0" w:space="0" w:color="auto"/>
                                <w:left w:val="none" w:sz="0" w:space="0" w:color="auto"/>
                                <w:bottom w:val="none" w:sz="0" w:space="0" w:color="auto"/>
                                <w:right w:val="none" w:sz="0" w:space="0" w:color="auto"/>
                              </w:divBdr>
                              <w:divsChild>
                                <w:div w:id="1880973526">
                                  <w:marLeft w:val="0"/>
                                  <w:marRight w:val="0"/>
                                  <w:marTop w:val="0"/>
                                  <w:marBottom w:val="0"/>
                                  <w:divBdr>
                                    <w:top w:val="none" w:sz="0" w:space="0" w:color="auto"/>
                                    <w:left w:val="none" w:sz="0" w:space="0" w:color="auto"/>
                                    <w:bottom w:val="none" w:sz="0" w:space="0" w:color="auto"/>
                                    <w:right w:val="none" w:sz="0" w:space="0" w:color="auto"/>
                                  </w:divBdr>
                                  <w:divsChild>
                                    <w:div w:id="1867062667">
                                      <w:marLeft w:val="0"/>
                                      <w:marRight w:val="0"/>
                                      <w:marTop w:val="0"/>
                                      <w:marBottom w:val="0"/>
                                      <w:divBdr>
                                        <w:top w:val="none" w:sz="0" w:space="0" w:color="auto"/>
                                        <w:left w:val="none" w:sz="0" w:space="0" w:color="auto"/>
                                        <w:bottom w:val="none" w:sz="0" w:space="0" w:color="auto"/>
                                        <w:right w:val="none" w:sz="0" w:space="0" w:color="auto"/>
                                      </w:divBdr>
                                      <w:divsChild>
                                        <w:div w:id="863906351">
                                          <w:marLeft w:val="0"/>
                                          <w:marRight w:val="0"/>
                                          <w:marTop w:val="0"/>
                                          <w:marBottom w:val="0"/>
                                          <w:divBdr>
                                            <w:top w:val="none" w:sz="0" w:space="0" w:color="auto"/>
                                            <w:left w:val="none" w:sz="0" w:space="0" w:color="auto"/>
                                            <w:bottom w:val="none" w:sz="0" w:space="0" w:color="auto"/>
                                            <w:right w:val="none" w:sz="0" w:space="0" w:color="auto"/>
                                          </w:divBdr>
                                          <w:divsChild>
                                            <w:div w:id="316347224">
                                              <w:marLeft w:val="0"/>
                                              <w:marRight w:val="0"/>
                                              <w:marTop w:val="0"/>
                                              <w:marBottom w:val="0"/>
                                              <w:divBdr>
                                                <w:top w:val="none" w:sz="0" w:space="0" w:color="auto"/>
                                                <w:left w:val="none" w:sz="0" w:space="0" w:color="auto"/>
                                                <w:bottom w:val="none" w:sz="0" w:space="0" w:color="auto"/>
                                                <w:right w:val="none" w:sz="0" w:space="0" w:color="auto"/>
                                              </w:divBdr>
                                              <w:divsChild>
                                                <w:div w:id="339623834">
                                                  <w:marLeft w:val="0"/>
                                                  <w:marRight w:val="0"/>
                                                  <w:marTop w:val="0"/>
                                                  <w:marBottom w:val="0"/>
                                                  <w:divBdr>
                                                    <w:top w:val="none" w:sz="0" w:space="0" w:color="auto"/>
                                                    <w:left w:val="none" w:sz="0" w:space="0" w:color="auto"/>
                                                    <w:bottom w:val="none" w:sz="0" w:space="0" w:color="auto"/>
                                                    <w:right w:val="none" w:sz="0" w:space="0" w:color="auto"/>
                                                  </w:divBdr>
                                                  <w:divsChild>
                                                    <w:div w:id="25058781">
                                                      <w:marLeft w:val="0"/>
                                                      <w:marRight w:val="0"/>
                                                      <w:marTop w:val="0"/>
                                                      <w:marBottom w:val="0"/>
                                                      <w:divBdr>
                                                        <w:top w:val="none" w:sz="0" w:space="0" w:color="auto"/>
                                                        <w:left w:val="none" w:sz="0" w:space="0" w:color="auto"/>
                                                        <w:bottom w:val="none" w:sz="0" w:space="0" w:color="auto"/>
                                                        <w:right w:val="none" w:sz="0" w:space="0" w:color="auto"/>
                                                      </w:divBdr>
                                                      <w:divsChild>
                                                        <w:div w:id="71970709">
                                                          <w:marLeft w:val="0"/>
                                                          <w:marRight w:val="240"/>
                                                          <w:marTop w:val="0"/>
                                                          <w:marBottom w:val="0"/>
                                                          <w:divBdr>
                                                            <w:top w:val="none" w:sz="0" w:space="0" w:color="auto"/>
                                                            <w:left w:val="none" w:sz="0" w:space="0" w:color="auto"/>
                                                            <w:bottom w:val="none" w:sz="0" w:space="0" w:color="auto"/>
                                                            <w:right w:val="none" w:sz="0" w:space="0" w:color="auto"/>
                                                          </w:divBdr>
                                                        </w:div>
                                                        <w:div w:id="150606766">
                                                          <w:marLeft w:val="0"/>
                                                          <w:marRight w:val="0"/>
                                                          <w:marTop w:val="75"/>
                                                          <w:marBottom w:val="0"/>
                                                          <w:divBdr>
                                                            <w:top w:val="none" w:sz="0" w:space="0" w:color="auto"/>
                                                            <w:left w:val="none" w:sz="0" w:space="0" w:color="auto"/>
                                                            <w:bottom w:val="none" w:sz="0" w:space="0" w:color="auto"/>
                                                            <w:right w:val="none" w:sz="0" w:space="0" w:color="auto"/>
                                                          </w:divBdr>
                                                        </w:div>
                                                        <w:div w:id="199979842">
                                                          <w:marLeft w:val="0"/>
                                                          <w:marRight w:val="0"/>
                                                          <w:marTop w:val="240"/>
                                                          <w:marBottom w:val="0"/>
                                                          <w:divBdr>
                                                            <w:top w:val="none" w:sz="0" w:space="0" w:color="auto"/>
                                                            <w:left w:val="none" w:sz="0" w:space="0" w:color="auto"/>
                                                            <w:bottom w:val="none" w:sz="0" w:space="0" w:color="auto"/>
                                                            <w:right w:val="none" w:sz="0" w:space="0" w:color="auto"/>
                                                          </w:divBdr>
                                                        </w:div>
                                                        <w:div w:id="336463040">
                                                          <w:marLeft w:val="0"/>
                                                          <w:marRight w:val="0"/>
                                                          <w:marTop w:val="0"/>
                                                          <w:marBottom w:val="0"/>
                                                          <w:divBdr>
                                                            <w:top w:val="none" w:sz="0" w:space="0" w:color="auto"/>
                                                            <w:left w:val="none" w:sz="0" w:space="0" w:color="auto"/>
                                                            <w:bottom w:val="none" w:sz="0" w:space="0" w:color="auto"/>
                                                            <w:right w:val="none" w:sz="0" w:space="0" w:color="auto"/>
                                                          </w:divBdr>
                                                          <w:divsChild>
                                                            <w:div w:id="1469936422">
                                                              <w:marLeft w:val="0"/>
                                                              <w:marRight w:val="0"/>
                                                              <w:marTop w:val="0"/>
                                                              <w:marBottom w:val="75"/>
                                                              <w:divBdr>
                                                                <w:top w:val="none" w:sz="0" w:space="0" w:color="auto"/>
                                                                <w:left w:val="none" w:sz="0" w:space="0" w:color="auto"/>
                                                                <w:bottom w:val="none" w:sz="0" w:space="0" w:color="auto"/>
                                                                <w:right w:val="none" w:sz="0" w:space="0" w:color="auto"/>
                                                              </w:divBdr>
                                                              <w:divsChild>
                                                                <w:div w:id="230192982">
                                                                  <w:marLeft w:val="0"/>
                                                                  <w:marRight w:val="0"/>
                                                                  <w:marTop w:val="0"/>
                                                                  <w:marBottom w:val="0"/>
                                                                  <w:divBdr>
                                                                    <w:top w:val="none" w:sz="0" w:space="0" w:color="auto"/>
                                                                    <w:left w:val="none" w:sz="0" w:space="0" w:color="auto"/>
                                                                    <w:bottom w:val="none" w:sz="0" w:space="0" w:color="auto"/>
                                                                    <w:right w:val="none" w:sz="0" w:space="0" w:color="auto"/>
                                                                  </w:divBdr>
                                                                </w:div>
                                                                <w:div w:id="3523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6631">
                                                          <w:marLeft w:val="0"/>
                                                          <w:marRight w:val="0"/>
                                                          <w:marTop w:val="0"/>
                                                          <w:marBottom w:val="0"/>
                                                          <w:divBdr>
                                                            <w:top w:val="none" w:sz="0" w:space="0" w:color="auto"/>
                                                            <w:left w:val="none" w:sz="0" w:space="0" w:color="auto"/>
                                                            <w:bottom w:val="none" w:sz="0" w:space="0" w:color="auto"/>
                                                            <w:right w:val="none" w:sz="0" w:space="0" w:color="auto"/>
                                                          </w:divBdr>
                                                        </w:div>
                                                        <w:div w:id="1687319366">
                                                          <w:marLeft w:val="0"/>
                                                          <w:marRight w:val="240"/>
                                                          <w:marTop w:val="0"/>
                                                          <w:marBottom w:val="0"/>
                                                          <w:divBdr>
                                                            <w:top w:val="none" w:sz="0" w:space="0" w:color="auto"/>
                                                            <w:left w:val="none" w:sz="0" w:space="0" w:color="auto"/>
                                                            <w:bottom w:val="none" w:sz="0" w:space="0" w:color="auto"/>
                                                            <w:right w:val="none" w:sz="0" w:space="0" w:color="auto"/>
                                                          </w:divBdr>
                                                        </w:div>
                                                        <w:div w:id="1825505687">
                                                          <w:marLeft w:val="0"/>
                                                          <w:marRight w:val="240"/>
                                                          <w:marTop w:val="0"/>
                                                          <w:marBottom w:val="0"/>
                                                          <w:divBdr>
                                                            <w:top w:val="none" w:sz="0" w:space="0" w:color="auto"/>
                                                            <w:left w:val="none" w:sz="0" w:space="0" w:color="auto"/>
                                                            <w:bottom w:val="none" w:sz="0" w:space="0" w:color="auto"/>
                                                            <w:right w:val="none" w:sz="0" w:space="0" w:color="auto"/>
                                                          </w:divBdr>
                                                        </w:div>
                                                        <w:div w:id="2056736787">
                                                          <w:marLeft w:val="0"/>
                                                          <w:marRight w:val="0"/>
                                                          <w:marTop w:val="0"/>
                                                          <w:marBottom w:val="0"/>
                                                          <w:divBdr>
                                                            <w:top w:val="none" w:sz="0" w:space="0" w:color="auto"/>
                                                            <w:left w:val="none" w:sz="0" w:space="0" w:color="auto"/>
                                                            <w:bottom w:val="none" w:sz="0" w:space="0" w:color="auto"/>
                                                            <w:right w:val="none" w:sz="0" w:space="0" w:color="auto"/>
                                                          </w:divBdr>
                                                          <w:divsChild>
                                                            <w:div w:id="18225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2757">
                                                      <w:marLeft w:val="0"/>
                                                      <w:marRight w:val="0"/>
                                                      <w:marTop w:val="0"/>
                                                      <w:marBottom w:val="0"/>
                                                      <w:divBdr>
                                                        <w:top w:val="none" w:sz="0" w:space="0" w:color="auto"/>
                                                        <w:left w:val="none" w:sz="0" w:space="0" w:color="auto"/>
                                                        <w:bottom w:val="none" w:sz="0" w:space="0" w:color="auto"/>
                                                        <w:right w:val="none" w:sz="0" w:space="0" w:color="auto"/>
                                                      </w:divBdr>
                                                      <w:divsChild>
                                                        <w:div w:id="80416356">
                                                          <w:marLeft w:val="0"/>
                                                          <w:marRight w:val="240"/>
                                                          <w:marTop w:val="0"/>
                                                          <w:marBottom w:val="0"/>
                                                          <w:divBdr>
                                                            <w:top w:val="none" w:sz="0" w:space="0" w:color="auto"/>
                                                            <w:left w:val="none" w:sz="0" w:space="0" w:color="auto"/>
                                                            <w:bottom w:val="none" w:sz="0" w:space="0" w:color="auto"/>
                                                            <w:right w:val="none" w:sz="0" w:space="0" w:color="auto"/>
                                                          </w:divBdr>
                                                        </w:div>
                                                        <w:div w:id="383673567">
                                                          <w:marLeft w:val="0"/>
                                                          <w:marRight w:val="0"/>
                                                          <w:marTop w:val="240"/>
                                                          <w:marBottom w:val="0"/>
                                                          <w:divBdr>
                                                            <w:top w:val="none" w:sz="0" w:space="0" w:color="auto"/>
                                                            <w:left w:val="none" w:sz="0" w:space="0" w:color="auto"/>
                                                            <w:bottom w:val="none" w:sz="0" w:space="0" w:color="auto"/>
                                                            <w:right w:val="none" w:sz="0" w:space="0" w:color="auto"/>
                                                          </w:divBdr>
                                                        </w:div>
                                                        <w:div w:id="1245336129">
                                                          <w:marLeft w:val="0"/>
                                                          <w:marRight w:val="0"/>
                                                          <w:marTop w:val="0"/>
                                                          <w:marBottom w:val="0"/>
                                                          <w:divBdr>
                                                            <w:top w:val="none" w:sz="0" w:space="0" w:color="auto"/>
                                                            <w:left w:val="none" w:sz="0" w:space="0" w:color="auto"/>
                                                            <w:bottom w:val="none" w:sz="0" w:space="0" w:color="auto"/>
                                                            <w:right w:val="none" w:sz="0" w:space="0" w:color="auto"/>
                                                          </w:divBdr>
                                                          <w:divsChild>
                                                            <w:div w:id="1562983880">
                                                              <w:marLeft w:val="0"/>
                                                              <w:marRight w:val="0"/>
                                                              <w:marTop w:val="0"/>
                                                              <w:marBottom w:val="75"/>
                                                              <w:divBdr>
                                                                <w:top w:val="none" w:sz="0" w:space="0" w:color="auto"/>
                                                                <w:left w:val="none" w:sz="0" w:space="0" w:color="auto"/>
                                                                <w:bottom w:val="none" w:sz="0" w:space="0" w:color="auto"/>
                                                                <w:right w:val="none" w:sz="0" w:space="0" w:color="auto"/>
                                                              </w:divBdr>
                                                              <w:divsChild>
                                                                <w:div w:id="172300342">
                                                                  <w:marLeft w:val="0"/>
                                                                  <w:marRight w:val="0"/>
                                                                  <w:marTop w:val="0"/>
                                                                  <w:marBottom w:val="0"/>
                                                                  <w:divBdr>
                                                                    <w:top w:val="none" w:sz="0" w:space="0" w:color="auto"/>
                                                                    <w:left w:val="none" w:sz="0" w:space="0" w:color="auto"/>
                                                                    <w:bottom w:val="none" w:sz="0" w:space="0" w:color="auto"/>
                                                                    <w:right w:val="none" w:sz="0" w:space="0" w:color="auto"/>
                                                                  </w:divBdr>
                                                                </w:div>
                                                                <w:div w:id="6606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6706">
                                                          <w:marLeft w:val="0"/>
                                                          <w:marRight w:val="240"/>
                                                          <w:marTop w:val="0"/>
                                                          <w:marBottom w:val="0"/>
                                                          <w:divBdr>
                                                            <w:top w:val="none" w:sz="0" w:space="0" w:color="auto"/>
                                                            <w:left w:val="none" w:sz="0" w:space="0" w:color="auto"/>
                                                            <w:bottom w:val="none" w:sz="0" w:space="0" w:color="auto"/>
                                                            <w:right w:val="none" w:sz="0" w:space="0" w:color="auto"/>
                                                          </w:divBdr>
                                                        </w:div>
                                                        <w:div w:id="1476221254">
                                                          <w:marLeft w:val="0"/>
                                                          <w:marRight w:val="240"/>
                                                          <w:marTop w:val="0"/>
                                                          <w:marBottom w:val="0"/>
                                                          <w:divBdr>
                                                            <w:top w:val="none" w:sz="0" w:space="0" w:color="auto"/>
                                                            <w:left w:val="none" w:sz="0" w:space="0" w:color="auto"/>
                                                            <w:bottom w:val="none" w:sz="0" w:space="0" w:color="auto"/>
                                                            <w:right w:val="none" w:sz="0" w:space="0" w:color="auto"/>
                                                          </w:divBdr>
                                                        </w:div>
                                                        <w:div w:id="1505782859">
                                                          <w:marLeft w:val="0"/>
                                                          <w:marRight w:val="0"/>
                                                          <w:marTop w:val="0"/>
                                                          <w:marBottom w:val="0"/>
                                                          <w:divBdr>
                                                            <w:top w:val="none" w:sz="0" w:space="0" w:color="auto"/>
                                                            <w:left w:val="none" w:sz="0" w:space="0" w:color="auto"/>
                                                            <w:bottom w:val="none" w:sz="0" w:space="0" w:color="auto"/>
                                                            <w:right w:val="none" w:sz="0" w:space="0" w:color="auto"/>
                                                          </w:divBdr>
                                                          <w:divsChild>
                                                            <w:div w:id="1089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933">
                                                      <w:marLeft w:val="0"/>
                                                      <w:marRight w:val="0"/>
                                                      <w:marTop w:val="0"/>
                                                      <w:marBottom w:val="0"/>
                                                      <w:divBdr>
                                                        <w:top w:val="none" w:sz="0" w:space="0" w:color="auto"/>
                                                        <w:left w:val="none" w:sz="0" w:space="0" w:color="auto"/>
                                                        <w:bottom w:val="none" w:sz="0" w:space="0" w:color="auto"/>
                                                        <w:right w:val="none" w:sz="0" w:space="0" w:color="auto"/>
                                                      </w:divBdr>
                                                      <w:divsChild>
                                                        <w:div w:id="11999481">
                                                          <w:marLeft w:val="0"/>
                                                          <w:marRight w:val="240"/>
                                                          <w:marTop w:val="0"/>
                                                          <w:marBottom w:val="0"/>
                                                          <w:divBdr>
                                                            <w:top w:val="none" w:sz="0" w:space="0" w:color="auto"/>
                                                            <w:left w:val="none" w:sz="0" w:space="0" w:color="auto"/>
                                                            <w:bottom w:val="none" w:sz="0" w:space="0" w:color="auto"/>
                                                            <w:right w:val="none" w:sz="0" w:space="0" w:color="auto"/>
                                                          </w:divBdr>
                                                        </w:div>
                                                        <w:div w:id="119693262">
                                                          <w:marLeft w:val="0"/>
                                                          <w:marRight w:val="240"/>
                                                          <w:marTop w:val="0"/>
                                                          <w:marBottom w:val="0"/>
                                                          <w:divBdr>
                                                            <w:top w:val="none" w:sz="0" w:space="0" w:color="auto"/>
                                                            <w:left w:val="none" w:sz="0" w:space="0" w:color="auto"/>
                                                            <w:bottom w:val="none" w:sz="0" w:space="0" w:color="auto"/>
                                                            <w:right w:val="none" w:sz="0" w:space="0" w:color="auto"/>
                                                          </w:divBdr>
                                                        </w:div>
                                                        <w:div w:id="131604313">
                                                          <w:marLeft w:val="0"/>
                                                          <w:marRight w:val="0"/>
                                                          <w:marTop w:val="0"/>
                                                          <w:marBottom w:val="0"/>
                                                          <w:divBdr>
                                                            <w:top w:val="none" w:sz="0" w:space="0" w:color="auto"/>
                                                            <w:left w:val="none" w:sz="0" w:space="0" w:color="auto"/>
                                                            <w:bottom w:val="none" w:sz="0" w:space="0" w:color="auto"/>
                                                            <w:right w:val="none" w:sz="0" w:space="0" w:color="auto"/>
                                                          </w:divBdr>
                                                          <w:divsChild>
                                                            <w:div w:id="1033724701">
                                                              <w:marLeft w:val="0"/>
                                                              <w:marRight w:val="0"/>
                                                              <w:marTop w:val="0"/>
                                                              <w:marBottom w:val="75"/>
                                                              <w:divBdr>
                                                                <w:top w:val="none" w:sz="0" w:space="0" w:color="auto"/>
                                                                <w:left w:val="none" w:sz="0" w:space="0" w:color="auto"/>
                                                                <w:bottom w:val="none" w:sz="0" w:space="0" w:color="auto"/>
                                                                <w:right w:val="none" w:sz="0" w:space="0" w:color="auto"/>
                                                              </w:divBdr>
                                                              <w:divsChild>
                                                                <w:div w:id="249504432">
                                                                  <w:marLeft w:val="0"/>
                                                                  <w:marRight w:val="0"/>
                                                                  <w:marTop w:val="0"/>
                                                                  <w:marBottom w:val="0"/>
                                                                  <w:divBdr>
                                                                    <w:top w:val="none" w:sz="0" w:space="0" w:color="auto"/>
                                                                    <w:left w:val="none" w:sz="0" w:space="0" w:color="auto"/>
                                                                    <w:bottom w:val="none" w:sz="0" w:space="0" w:color="auto"/>
                                                                    <w:right w:val="none" w:sz="0" w:space="0" w:color="auto"/>
                                                                  </w:divBdr>
                                                                </w:div>
                                                                <w:div w:id="1421290056">
                                                                  <w:marLeft w:val="0"/>
                                                                  <w:marRight w:val="0"/>
                                                                  <w:marTop w:val="0"/>
                                                                  <w:marBottom w:val="0"/>
                                                                  <w:divBdr>
                                                                    <w:top w:val="none" w:sz="0" w:space="0" w:color="auto"/>
                                                                    <w:left w:val="none" w:sz="0" w:space="0" w:color="auto"/>
                                                                    <w:bottom w:val="none" w:sz="0" w:space="0" w:color="auto"/>
                                                                    <w:right w:val="none" w:sz="0" w:space="0" w:color="auto"/>
                                                                  </w:divBdr>
                                                                </w:div>
                                                              </w:divsChild>
                                                            </w:div>
                                                            <w:div w:id="1840805391">
                                                              <w:marLeft w:val="0"/>
                                                              <w:marRight w:val="0"/>
                                                              <w:marTop w:val="0"/>
                                                              <w:marBottom w:val="75"/>
                                                              <w:divBdr>
                                                                <w:top w:val="none" w:sz="0" w:space="0" w:color="auto"/>
                                                                <w:left w:val="none" w:sz="0" w:space="0" w:color="auto"/>
                                                                <w:bottom w:val="none" w:sz="0" w:space="0" w:color="auto"/>
                                                                <w:right w:val="none" w:sz="0" w:space="0" w:color="auto"/>
                                                              </w:divBdr>
                                                              <w:divsChild>
                                                                <w:div w:id="1208107956">
                                                                  <w:marLeft w:val="0"/>
                                                                  <w:marRight w:val="0"/>
                                                                  <w:marTop w:val="0"/>
                                                                  <w:marBottom w:val="0"/>
                                                                  <w:divBdr>
                                                                    <w:top w:val="none" w:sz="0" w:space="0" w:color="auto"/>
                                                                    <w:left w:val="none" w:sz="0" w:space="0" w:color="auto"/>
                                                                    <w:bottom w:val="none" w:sz="0" w:space="0" w:color="auto"/>
                                                                    <w:right w:val="none" w:sz="0" w:space="0" w:color="auto"/>
                                                                  </w:divBdr>
                                                                </w:div>
                                                                <w:div w:id="19065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761">
                                                          <w:marLeft w:val="0"/>
                                                          <w:marRight w:val="0"/>
                                                          <w:marTop w:val="0"/>
                                                          <w:marBottom w:val="0"/>
                                                          <w:divBdr>
                                                            <w:top w:val="none" w:sz="0" w:space="0" w:color="auto"/>
                                                            <w:left w:val="none" w:sz="0" w:space="0" w:color="auto"/>
                                                            <w:bottom w:val="none" w:sz="0" w:space="0" w:color="auto"/>
                                                            <w:right w:val="none" w:sz="0" w:space="0" w:color="auto"/>
                                                          </w:divBdr>
                                                          <w:divsChild>
                                                            <w:div w:id="1126001879">
                                                              <w:marLeft w:val="0"/>
                                                              <w:marRight w:val="0"/>
                                                              <w:marTop w:val="0"/>
                                                              <w:marBottom w:val="0"/>
                                                              <w:divBdr>
                                                                <w:top w:val="none" w:sz="0" w:space="0" w:color="auto"/>
                                                                <w:left w:val="none" w:sz="0" w:space="0" w:color="auto"/>
                                                                <w:bottom w:val="none" w:sz="0" w:space="0" w:color="auto"/>
                                                                <w:right w:val="none" w:sz="0" w:space="0" w:color="auto"/>
                                                              </w:divBdr>
                                                            </w:div>
                                                          </w:divsChild>
                                                        </w:div>
                                                        <w:div w:id="445077264">
                                                          <w:marLeft w:val="0"/>
                                                          <w:marRight w:val="0"/>
                                                          <w:marTop w:val="240"/>
                                                          <w:marBottom w:val="0"/>
                                                          <w:divBdr>
                                                            <w:top w:val="none" w:sz="0" w:space="0" w:color="auto"/>
                                                            <w:left w:val="none" w:sz="0" w:space="0" w:color="auto"/>
                                                            <w:bottom w:val="none" w:sz="0" w:space="0" w:color="auto"/>
                                                            <w:right w:val="none" w:sz="0" w:space="0" w:color="auto"/>
                                                          </w:divBdr>
                                                        </w:div>
                                                        <w:div w:id="903372336">
                                                          <w:marLeft w:val="0"/>
                                                          <w:marRight w:val="240"/>
                                                          <w:marTop w:val="0"/>
                                                          <w:marBottom w:val="0"/>
                                                          <w:divBdr>
                                                            <w:top w:val="none" w:sz="0" w:space="0" w:color="auto"/>
                                                            <w:left w:val="none" w:sz="0" w:space="0" w:color="auto"/>
                                                            <w:bottom w:val="none" w:sz="0" w:space="0" w:color="auto"/>
                                                            <w:right w:val="none" w:sz="0" w:space="0" w:color="auto"/>
                                                          </w:divBdr>
                                                        </w:div>
                                                      </w:divsChild>
                                                    </w:div>
                                                    <w:div w:id="1141002954">
                                                      <w:marLeft w:val="0"/>
                                                      <w:marRight w:val="0"/>
                                                      <w:marTop w:val="0"/>
                                                      <w:marBottom w:val="0"/>
                                                      <w:divBdr>
                                                        <w:top w:val="none" w:sz="0" w:space="0" w:color="auto"/>
                                                        <w:left w:val="none" w:sz="0" w:space="0" w:color="auto"/>
                                                        <w:bottom w:val="none" w:sz="0" w:space="0" w:color="auto"/>
                                                        <w:right w:val="none" w:sz="0" w:space="0" w:color="auto"/>
                                                      </w:divBdr>
                                                      <w:divsChild>
                                                        <w:div w:id="902254220">
                                                          <w:marLeft w:val="0"/>
                                                          <w:marRight w:val="240"/>
                                                          <w:marTop w:val="0"/>
                                                          <w:marBottom w:val="0"/>
                                                          <w:divBdr>
                                                            <w:top w:val="none" w:sz="0" w:space="0" w:color="auto"/>
                                                            <w:left w:val="none" w:sz="0" w:space="0" w:color="auto"/>
                                                            <w:bottom w:val="none" w:sz="0" w:space="0" w:color="auto"/>
                                                            <w:right w:val="none" w:sz="0" w:space="0" w:color="auto"/>
                                                          </w:divBdr>
                                                        </w:div>
                                                        <w:div w:id="1644239094">
                                                          <w:marLeft w:val="0"/>
                                                          <w:marRight w:val="0"/>
                                                          <w:marTop w:val="240"/>
                                                          <w:marBottom w:val="0"/>
                                                          <w:divBdr>
                                                            <w:top w:val="none" w:sz="0" w:space="0" w:color="auto"/>
                                                            <w:left w:val="none" w:sz="0" w:space="0" w:color="auto"/>
                                                            <w:bottom w:val="none" w:sz="0" w:space="0" w:color="auto"/>
                                                            <w:right w:val="none" w:sz="0" w:space="0" w:color="auto"/>
                                                          </w:divBdr>
                                                        </w:div>
                                                        <w:div w:id="1727072265">
                                                          <w:marLeft w:val="0"/>
                                                          <w:marRight w:val="240"/>
                                                          <w:marTop w:val="0"/>
                                                          <w:marBottom w:val="0"/>
                                                          <w:divBdr>
                                                            <w:top w:val="none" w:sz="0" w:space="0" w:color="auto"/>
                                                            <w:left w:val="none" w:sz="0" w:space="0" w:color="auto"/>
                                                            <w:bottom w:val="none" w:sz="0" w:space="0" w:color="auto"/>
                                                            <w:right w:val="none" w:sz="0" w:space="0" w:color="auto"/>
                                                          </w:divBdr>
                                                        </w:div>
                                                        <w:div w:id="1762986891">
                                                          <w:marLeft w:val="0"/>
                                                          <w:marRight w:val="0"/>
                                                          <w:marTop w:val="0"/>
                                                          <w:marBottom w:val="0"/>
                                                          <w:divBdr>
                                                            <w:top w:val="none" w:sz="0" w:space="0" w:color="auto"/>
                                                            <w:left w:val="none" w:sz="0" w:space="0" w:color="auto"/>
                                                            <w:bottom w:val="none" w:sz="0" w:space="0" w:color="auto"/>
                                                            <w:right w:val="none" w:sz="0" w:space="0" w:color="auto"/>
                                                          </w:divBdr>
                                                          <w:divsChild>
                                                            <w:div w:id="1331984355">
                                                              <w:marLeft w:val="0"/>
                                                              <w:marRight w:val="0"/>
                                                              <w:marTop w:val="0"/>
                                                              <w:marBottom w:val="75"/>
                                                              <w:divBdr>
                                                                <w:top w:val="none" w:sz="0" w:space="0" w:color="auto"/>
                                                                <w:left w:val="none" w:sz="0" w:space="0" w:color="auto"/>
                                                                <w:bottom w:val="none" w:sz="0" w:space="0" w:color="auto"/>
                                                                <w:right w:val="none" w:sz="0" w:space="0" w:color="auto"/>
                                                              </w:divBdr>
                                                              <w:divsChild>
                                                                <w:div w:id="5980800">
                                                                  <w:marLeft w:val="0"/>
                                                                  <w:marRight w:val="0"/>
                                                                  <w:marTop w:val="0"/>
                                                                  <w:marBottom w:val="0"/>
                                                                  <w:divBdr>
                                                                    <w:top w:val="none" w:sz="0" w:space="0" w:color="auto"/>
                                                                    <w:left w:val="none" w:sz="0" w:space="0" w:color="auto"/>
                                                                    <w:bottom w:val="none" w:sz="0" w:space="0" w:color="auto"/>
                                                                    <w:right w:val="none" w:sz="0" w:space="0" w:color="auto"/>
                                                                  </w:divBdr>
                                                                </w:div>
                                                                <w:div w:id="1888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5403">
                                                          <w:marLeft w:val="0"/>
                                                          <w:marRight w:val="240"/>
                                                          <w:marTop w:val="0"/>
                                                          <w:marBottom w:val="0"/>
                                                          <w:divBdr>
                                                            <w:top w:val="none" w:sz="0" w:space="0" w:color="auto"/>
                                                            <w:left w:val="none" w:sz="0" w:space="0" w:color="auto"/>
                                                            <w:bottom w:val="none" w:sz="0" w:space="0" w:color="auto"/>
                                                            <w:right w:val="none" w:sz="0" w:space="0" w:color="auto"/>
                                                          </w:divBdr>
                                                        </w:div>
                                                        <w:div w:id="2120759953">
                                                          <w:marLeft w:val="0"/>
                                                          <w:marRight w:val="0"/>
                                                          <w:marTop w:val="0"/>
                                                          <w:marBottom w:val="0"/>
                                                          <w:divBdr>
                                                            <w:top w:val="none" w:sz="0" w:space="0" w:color="auto"/>
                                                            <w:left w:val="none" w:sz="0" w:space="0" w:color="auto"/>
                                                            <w:bottom w:val="none" w:sz="0" w:space="0" w:color="auto"/>
                                                            <w:right w:val="none" w:sz="0" w:space="0" w:color="auto"/>
                                                          </w:divBdr>
                                                          <w:divsChild>
                                                            <w:div w:id="964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305">
                                                      <w:marLeft w:val="0"/>
                                                      <w:marRight w:val="0"/>
                                                      <w:marTop w:val="0"/>
                                                      <w:marBottom w:val="0"/>
                                                      <w:divBdr>
                                                        <w:top w:val="none" w:sz="0" w:space="0" w:color="auto"/>
                                                        <w:left w:val="none" w:sz="0" w:space="0" w:color="auto"/>
                                                        <w:bottom w:val="none" w:sz="0" w:space="0" w:color="auto"/>
                                                        <w:right w:val="none" w:sz="0" w:space="0" w:color="auto"/>
                                                      </w:divBdr>
                                                      <w:divsChild>
                                                        <w:div w:id="486290814">
                                                          <w:marLeft w:val="0"/>
                                                          <w:marRight w:val="0"/>
                                                          <w:marTop w:val="240"/>
                                                          <w:marBottom w:val="0"/>
                                                          <w:divBdr>
                                                            <w:top w:val="none" w:sz="0" w:space="0" w:color="auto"/>
                                                            <w:left w:val="none" w:sz="0" w:space="0" w:color="auto"/>
                                                            <w:bottom w:val="none" w:sz="0" w:space="0" w:color="auto"/>
                                                            <w:right w:val="none" w:sz="0" w:space="0" w:color="auto"/>
                                                          </w:divBdr>
                                                        </w:div>
                                                        <w:div w:id="938024898">
                                                          <w:marLeft w:val="0"/>
                                                          <w:marRight w:val="240"/>
                                                          <w:marTop w:val="0"/>
                                                          <w:marBottom w:val="0"/>
                                                          <w:divBdr>
                                                            <w:top w:val="none" w:sz="0" w:space="0" w:color="auto"/>
                                                            <w:left w:val="none" w:sz="0" w:space="0" w:color="auto"/>
                                                            <w:bottom w:val="none" w:sz="0" w:space="0" w:color="auto"/>
                                                            <w:right w:val="none" w:sz="0" w:space="0" w:color="auto"/>
                                                          </w:divBdr>
                                                        </w:div>
                                                        <w:div w:id="1040788761">
                                                          <w:marLeft w:val="0"/>
                                                          <w:marRight w:val="240"/>
                                                          <w:marTop w:val="0"/>
                                                          <w:marBottom w:val="0"/>
                                                          <w:divBdr>
                                                            <w:top w:val="none" w:sz="0" w:space="0" w:color="auto"/>
                                                            <w:left w:val="none" w:sz="0" w:space="0" w:color="auto"/>
                                                            <w:bottom w:val="none" w:sz="0" w:space="0" w:color="auto"/>
                                                            <w:right w:val="none" w:sz="0" w:space="0" w:color="auto"/>
                                                          </w:divBdr>
                                                        </w:div>
                                                        <w:div w:id="1756124507">
                                                          <w:marLeft w:val="0"/>
                                                          <w:marRight w:val="0"/>
                                                          <w:marTop w:val="0"/>
                                                          <w:marBottom w:val="0"/>
                                                          <w:divBdr>
                                                            <w:top w:val="none" w:sz="0" w:space="0" w:color="auto"/>
                                                            <w:left w:val="none" w:sz="0" w:space="0" w:color="auto"/>
                                                            <w:bottom w:val="none" w:sz="0" w:space="0" w:color="auto"/>
                                                            <w:right w:val="none" w:sz="0" w:space="0" w:color="auto"/>
                                                          </w:divBdr>
                                                          <w:divsChild>
                                                            <w:div w:id="539898679">
                                                              <w:marLeft w:val="0"/>
                                                              <w:marRight w:val="0"/>
                                                              <w:marTop w:val="0"/>
                                                              <w:marBottom w:val="0"/>
                                                              <w:divBdr>
                                                                <w:top w:val="none" w:sz="0" w:space="0" w:color="auto"/>
                                                                <w:left w:val="none" w:sz="0" w:space="0" w:color="auto"/>
                                                                <w:bottom w:val="none" w:sz="0" w:space="0" w:color="auto"/>
                                                                <w:right w:val="none" w:sz="0" w:space="0" w:color="auto"/>
                                                              </w:divBdr>
                                                            </w:div>
                                                          </w:divsChild>
                                                        </w:div>
                                                        <w:div w:id="1816488418">
                                                          <w:marLeft w:val="0"/>
                                                          <w:marRight w:val="0"/>
                                                          <w:marTop w:val="0"/>
                                                          <w:marBottom w:val="0"/>
                                                          <w:divBdr>
                                                            <w:top w:val="none" w:sz="0" w:space="0" w:color="auto"/>
                                                            <w:left w:val="none" w:sz="0" w:space="0" w:color="auto"/>
                                                            <w:bottom w:val="none" w:sz="0" w:space="0" w:color="auto"/>
                                                            <w:right w:val="none" w:sz="0" w:space="0" w:color="auto"/>
                                                          </w:divBdr>
                                                          <w:divsChild>
                                                            <w:div w:id="1176698919">
                                                              <w:marLeft w:val="0"/>
                                                              <w:marRight w:val="0"/>
                                                              <w:marTop w:val="0"/>
                                                              <w:marBottom w:val="75"/>
                                                              <w:divBdr>
                                                                <w:top w:val="none" w:sz="0" w:space="0" w:color="auto"/>
                                                                <w:left w:val="none" w:sz="0" w:space="0" w:color="auto"/>
                                                                <w:bottom w:val="none" w:sz="0" w:space="0" w:color="auto"/>
                                                                <w:right w:val="none" w:sz="0" w:space="0" w:color="auto"/>
                                                              </w:divBdr>
                                                              <w:divsChild>
                                                                <w:div w:id="399447317">
                                                                  <w:marLeft w:val="0"/>
                                                                  <w:marRight w:val="0"/>
                                                                  <w:marTop w:val="0"/>
                                                                  <w:marBottom w:val="0"/>
                                                                  <w:divBdr>
                                                                    <w:top w:val="none" w:sz="0" w:space="0" w:color="auto"/>
                                                                    <w:left w:val="none" w:sz="0" w:space="0" w:color="auto"/>
                                                                    <w:bottom w:val="none" w:sz="0" w:space="0" w:color="auto"/>
                                                                    <w:right w:val="none" w:sz="0" w:space="0" w:color="auto"/>
                                                                  </w:divBdr>
                                                                </w:div>
                                                                <w:div w:id="6761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47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480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891024">
      <w:bodyDiv w:val="1"/>
      <w:marLeft w:val="0"/>
      <w:marRight w:val="0"/>
      <w:marTop w:val="0"/>
      <w:marBottom w:val="0"/>
      <w:divBdr>
        <w:top w:val="none" w:sz="0" w:space="0" w:color="auto"/>
        <w:left w:val="none" w:sz="0" w:space="0" w:color="auto"/>
        <w:bottom w:val="none" w:sz="0" w:space="0" w:color="auto"/>
        <w:right w:val="none" w:sz="0" w:space="0" w:color="auto"/>
      </w:divBdr>
      <w:divsChild>
        <w:div w:id="1723090347">
          <w:marLeft w:val="0"/>
          <w:marRight w:val="0"/>
          <w:marTop w:val="0"/>
          <w:marBottom w:val="0"/>
          <w:divBdr>
            <w:top w:val="none" w:sz="0" w:space="0" w:color="auto"/>
            <w:left w:val="none" w:sz="0" w:space="0" w:color="auto"/>
            <w:bottom w:val="none" w:sz="0" w:space="0" w:color="auto"/>
            <w:right w:val="none" w:sz="0" w:space="0" w:color="auto"/>
          </w:divBdr>
          <w:divsChild>
            <w:div w:id="944192575">
              <w:marLeft w:val="0"/>
              <w:marRight w:val="0"/>
              <w:marTop w:val="0"/>
              <w:marBottom w:val="0"/>
              <w:divBdr>
                <w:top w:val="none" w:sz="0" w:space="0" w:color="auto"/>
                <w:left w:val="none" w:sz="0" w:space="0" w:color="auto"/>
                <w:bottom w:val="none" w:sz="0" w:space="0" w:color="auto"/>
                <w:right w:val="none" w:sz="0" w:space="0" w:color="auto"/>
              </w:divBdr>
              <w:divsChild>
                <w:div w:id="214513346">
                  <w:marLeft w:val="0"/>
                  <w:marRight w:val="0"/>
                  <w:marTop w:val="0"/>
                  <w:marBottom w:val="0"/>
                  <w:divBdr>
                    <w:top w:val="none" w:sz="0" w:space="0" w:color="auto"/>
                    <w:left w:val="none" w:sz="0" w:space="0" w:color="auto"/>
                    <w:bottom w:val="none" w:sz="0" w:space="0" w:color="auto"/>
                    <w:right w:val="none" w:sz="0" w:space="0" w:color="auto"/>
                  </w:divBdr>
                  <w:divsChild>
                    <w:div w:id="1936934904">
                      <w:marLeft w:val="0"/>
                      <w:marRight w:val="0"/>
                      <w:marTop w:val="0"/>
                      <w:marBottom w:val="0"/>
                      <w:divBdr>
                        <w:top w:val="none" w:sz="0" w:space="0" w:color="auto"/>
                        <w:left w:val="none" w:sz="0" w:space="0" w:color="auto"/>
                        <w:bottom w:val="none" w:sz="0" w:space="0" w:color="auto"/>
                        <w:right w:val="none" w:sz="0" w:space="0" w:color="auto"/>
                      </w:divBdr>
                      <w:divsChild>
                        <w:div w:id="1192383180">
                          <w:marLeft w:val="0"/>
                          <w:marRight w:val="0"/>
                          <w:marTop w:val="0"/>
                          <w:marBottom w:val="0"/>
                          <w:divBdr>
                            <w:top w:val="none" w:sz="0" w:space="0" w:color="auto"/>
                            <w:left w:val="none" w:sz="0" w:space="0" w:color="auto"/>
                            <w:bottom w:val="none" w:sz="0" w:space="0" w:color="auto"/>
                            <w:right w:val="none" w:sz="0" w:space="0" w:color="auto"/>
                          </w:divBdr>
                          <w:divsChild>
                            <w:div w:id="19316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960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14242243">
      <w:bodyDiv w:val="1"/>
      <w:marLeft w:val="0"/>
      <w:marRight w:val="0"/>
      <w:marTop w:val="0"/>
      <w:marBottom w:val="0"/>
      <w:divBdr>
        <w:top w:val="none" w:sz="0" w:space="0" w:color="auto"/>
        <w:left w:val="none" w:sz="0" w:space="0" w:color="auto"/>
        <w:bottom w:val="none" w:sz="0" w:space="0" w:color="auto"/>
        <w:right w:val="none" w:sz="0" w:space="0" w:color="auto"/>
      </w:divBdr>
      <w:divsChild>
        <w:div w:id="1993823514">
          <w:marLeft w:val="0"/>
          <w:marRight w:val="0"/>
          <w:marTop w:val="0"/>
          <w:marBottom w:val="0"/>
          <w:divBdr>
            <w:top w:val="none" w:sz="0" w:space="0" w:color="auto"/>
            <w:left w:val="none" w:sz="0" w:space="0" w:color="auto"/>
            <w:bottom w:val="none" w:sz="0" w:space="0" w:color="auto"/>
            <w:right w:val="none" w:sz="0" w:space="0" w:color="auto"/>
          </w:divBdr>
          <w:divsChild>
            <w:div w:id="487211646">
              <w:marLeft w:val="0"/>
              <w:marRight w:val="0"/>
              <w:marTop w:val="0"/>
              <w:marBottom w:val="0"/>
              <w:divBdr>
                <w:top w:val="none" w:sz="0" w:space="0" w:color="auto"/>
                <w:left w:val="none" w:sz="0" w:space="0" w:color="auto"/>
                <w:bottom w:val="none" w:sz="0" w:space="0" w:color="auto"/>
                <w:right w:val="none" w:sz="0" w:space="0" w:color="auto"/>
              </w:divBdr>
              <w:divsChild>
                <w:div w:id="20472116">
                  <w:marLeft w:val="0"/>
                  <w:marRight w:val="0"/>
                  <w:marTop w:val="0"/>
                  <w:marBottom w:val="0"/>
                  <w:divBdr>
                    <w:top w:val="none" w:sz="0" w:space="0" w:color="auto"/>
                    <w:left w:val="none" w:sz="0" w:space="0" w:color="auto"/>
                    <w:bottom w:val="none" w:sz="0" w:space="0" w:color="auto"/>
                    <w:right w:val="none" w:sz="0" w:space="0" w:color="auto"/>
                  </w:divBdr>
                  <w:divsChild>
                    <w:div w:id="1763917928">
                      <w:marLeft w:val="0"/>
                      <w:marRight w:val="0"/>
                      <w:marTop w:val="0"/>
                      <w:marBottom w:val="0"/>
                      <w:divBdr>
                        <w:top w:val="none" w:sz="0" w:space="0" w:color="auto"/>
                        <w:left w:val="none" w:sz="0" w:space="0" w:color="auto"/>
                        <w:bottom w:val="none" w:sz="0" w:space="0" w:color="auto"/>
                        <w:right w:val="none" w:sz="0" w:space="0" w:color="auto"/>
                      </w:divBdr>
                      <w:divsChild>
                        <w:div w:id="1121998206">
                          <w:marLeft w:val="0"/>
                          <w:marRight w:val="0"/>
                          <w:marTop w:val="0"/>
                          <w:marBottom w:val="0"/>
                          <w:divBdr>
                            <w:top w:val="none" w:sz="0" w:space="0" w:color="auto"/>
                            <w:left w:val="none" w:sz="0" w:space="0" w:color="auto"/>
                            <w:bottom w:val="none" w:sz="0" w:space="0" w:color="auto"/>
                            <w:right w:val="none" w:sz="0" w:space="0" w:color="auto"/>
                          </w:divBdr>
                          <w:divsChild>
                            <w:div w:id="5151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63081">
      <w:bodyDiv w:val="1"/>
      <w:marLeft w:val="0"/>
      <w:marRight w:val="0"/>
      <w:marTop w:val="0"/>
      <w:marBottom w:val="0"/>
      <w:divBdr>
        <w:top w:val="none" w:sz="0" w:space="0" w:color="auto"/>
        <w:left w:val="none" w:sz="0" w:space="0" w:color="auto"/>
        <w:bottom w:val="none" w:sz="0" w:space="0" w:color="auto"/>
        <w:right w:val="none" w:sz="0" w:space="0" w:color="auto"/>
      </w:divBdr>
      <w:divsChild>
        <w:div w:id="1356232992">
          <w:marLeft w:val="0"/>
          <w:marRight w:val="0"/>
          <w:marTop w:val="0"/>
          <w:marBottom w:val="0"/>
          <w:divBdr>
            <w:top w:val="none" w:sz="0" w:space="0" w:color="auto"/>
            <w:left w:val="none" w:sz="0" w:space="0" w:color="auto"/>
            <w:bottom w:val="none" w:sz="0" w:space="0" w:color="auto"/>
            <w:right w:val="none" w:sz="0" w:space="0" w:color="auto"/>
          </w:divBdr>
          <w:divsChild>
            <w:div w:id="719135238">
              <w:marLeft w:val="0"/>
              <w:marRight w:val="0"/>
              <w:marTop w:val="0"/>
              <w:marBottom w:val="0"/>
              <w:divBdr>
                <w:top w:val="none" w:sz="0" w:space="0" w:color="auto"/>
                <w:left w:val="none" w:sz="0" w:space="0" w:color="auto"/>
                <w:bottom w:val="none" w:sz="0" w:space="0" w:color="auto"/>
                <w:right w:val="none" w:sz="0" w:space="0" w:color="auto"/>
              </w:divBdr>
              <w:divsChild>
                <w:div w:id="1348748330">
                  <w:marLeft w:val="0"/>
                  <w:marRight w:val="0"/>
                  <w:marTop w:val="0"/>
                  <w:marBottom w:val="0"/>
                  <w:divBdr>
                    <w:top w:val="none" w:sz="0" w:space="0" w:color="auto"/>
                    <w:left w:val="none" w:sz="0" w:space="0" w:color="auto"/>
                    <w:bottom w:val="none" w:sz="0" w:space="0" w:color="auto"/>
                    <w:right w:val="none" w:sz="0" w:space="0" w:color="auto"/>
                  </w:divBdr>
                  <w:divsChild>
                    <w:div w:id="1671984799">
                      <w:marLeft w:val="0"/>
                      <w:marRight w:val="0"/>
                      <w:marTop w:val="0"/>
                      <w:marBottom w:val="0"/>
                      <w:divBdr>
                        <w:top w:val="none" w:sz="0" w:space="0" w:color="auto"/>
                        <w:left w:val="none" w:sz="0" w:space="0" w:color="auto"/>
                        <w:bottom w:val="none" w:sz="0" w:space="0" w:color="auto"/>
                        <w:right w:val="none" w:sz="0" w:space="0" w:color="auto"/>
                      </w:divBdr>
                      <w:divsChild>
                        <w:div w:id="1101484814">
                          <w:marLeft w:val="0"/>
                          <w:marRight w:val="0"/>
                          <w:marTop w:val="0"/>
                          <w:marBottom w:val="0"/>
                          <w:divBdr>
                            <w:top w:val="none" w:sz="0" w:space="0" w:color="auto"/>
                            <w:left w:val="none" w:sz="0" w:space="0" w:color="auto"/>
                            <w:bottom w:val="none" w:sz="0" w:space="0" w:color="auto"/>
                            <w:right w:val="none" w:sz="0" w:space="0" w:color="auto"/>
                          </w:divBdr>
                          <w:divsChild>
                            <w:div w:id="7702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423414">
      <w:bodyDiv w:val="1"/>
      <w:marLeft w:val="0"/>
      <w:marRight w:val="0"/>
      <w:marTop w:val="0"/>
      <w:marBottom w:val="0"/>
      <w:divBdr>
        <w:top w:val="none" w:sz="0" w:space="0" w:color="auto"/>
        <w:left w:val="none" w:sz="0" w:space="0" w:color="auto"/>
        <w:bottom w:val="none" w:sz="0" w:space="0" w:color="auto"/>
        <w:right w:val="none" w:sz="0" w:space="0" w:color="auto"/>
      </w:divBdr>
    </w:div>
    <w:div w:id="1806509877">
      <w:bodyDiv w:val="1"/>
      <w:marLeft w:val="0"/>
      <w:marRight w:val="0"/>
      <w:marTop w:val="0"/>
      <w:marBottom w:val="0"/>
      <w:divBdr>
        <w:top w:val="none" w:sz="0" w:space="0" w:color="auto"/>
        <w:left w:val="none" w:sz="0" w:space="0" w:color="auto"/>
        <w:bottom w:val="none" w:sz="0" w:space="0" w:color="auto"/>
        <w:right w:val="none" w:sz="0" w:space="0" w:color="auto"/>
      </w:divBdr>
    </w:div>
    <w:div w:id="1828548726">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2">
          <w:marLeft w:val="0"/>
          <w:marRight w:val="0"/>
          <w:marTop w:val="0"/>
          <w:marBottom w:val="0"/>
          <w:divBdr>
            <w:top w:val="none" w:sz="0" w:space="0" w:color="auto"/>
            <w:left w:val="none" w:sz="0" w:space="0" w:color="auto"/>
            <w:bottom w:val="none" w:sz="0" w:space="0" w:color="auto"/>
            <w:right w:val="none" w:sz="0" w:space="0" w:color="auto"/>
          </w:divBdr>
          <w:divsChild>
            <w:div w:id="1812091663">
              <w:marLeft w:val="0"/>
              <w:marRight w:val="0"/>
              <w:marTop w:val="0"/>
              <w:marBottom w:val="0"/>
              <w:divBdr>
                <w:top w:val="none" w:sz="0" w:space="0" w:color="auto"/>
                <w:left w:val="none" w:sz="0" w:space="0" w:color="auto"/>
                <w:bottom w:val="none" w:sz="0" w:space="0" w:color="auto"/>
                <w:right w:val="none" w:sz="0" w:space="0" w:color="auto"/>
              </w:divBdr>
              <w:divsChild>
                <w:div w:id="1927494333">
                  <w:marLeft w:val="0"/>
                  <w:marRight w:val="0"/>
                  <w:marTop w:val="0"/>
                  <w:marBottom w:val="0"/>
                  <w:divBdr>
                    <w:top w:val="none" w:sz="0" w:space="0" w:color="auto"/>
                    <w:left w:val="none" w:sz="0" w:space="0" w:color="auto"/>
                    <w:bottom w:val="none" w:sz="0" w:space="0" w:color="auto"/>
                    <w:right w:val="none" w:sz="0" w:space="0" w:color="auto"/>
                  </w:divBdr>
                  <w:divsChild>
                    <w:div w:id="1513566528">
                      <w:marLeft w:val="0"/>
                      <w:marRight w:val="0"/>
                      <w:marTop w:val="0"/>
                      <w:marBottom w:val="0"/>
                      <w:divBdr>
                        <w:top w:val="none" w:sz="0" w:space="0" w:color="auto"/>
                        <w:left w:val="none" w:sz="0" w:space="0" w:color="auto"/>
                        <w:bottom w:val="none" w:sz="0" w:space="0" w:color="auto"/>
                        <w:right w:val="none" w:sz="0" w:space="0" w:color="auto"/>
                      </w:divBdr>
                      <w:divsChild>
                        <w:div w:id="1593274518">
                          <w:marLeft w:val="0"/>
                          <w:marRight w:val="0"/>
                          <w:marTop w:val="0"/>
                          <w:marBottom w:val="0"/>
                          <w:divBdr>
                            <w:top w:val="none" w:sz="0" w:space="0" w:color="auto"/>
                            <w:left w:val="none" w:sz="0" w:space="0" w:color="auto"/>
                            <w:bottom w:val="none" w:sz="0" w:space="0" w:color="auto"/>
                            <w:right w:val="none" w:sz="0" w:space="0" w:color="auto"/>
                          </w:divBdr>
                          <w:divsChild>
                            <w:div w:id="19712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61228">
      <w:bodyDiv w:val="1"/>
      <w:marLeft w:val="0"/>
      <w:marRight w:val="0"/>
      <w:marTop w:val="0"/>
      <w:marBottom w:val="0"/>
      <w:divBdr>
        <w:top w:val="none" w:sz="0" w:space="0" w:color="auto"/>
        <w:left w:val="none" w:sz="0" w:space="0" w:color="auto"/>
        <w:bottom w:val="none" w:sz="0" w:space="0" w:color="auto"/>
        <w:right w:val="none" w:sz="0" w:space="0" w:color="auto"/>
      </w:divBdr>
    </w:div>
    <w:div w:id="1922059329">
      <w:bodyDiv w:val="1"/>
      <w:marLeft w:val="0"/>
      <w:marRight w:val="0"/>
      <w:marTop w:val="0"/>
      <w:marBottom w:val="0"/>
      <w:divBdr>
        <w:top w:val="none" w:sz="0" w:space="0" w:color="auto"/>
        <w:left w:val="none" w:sz="0" w:space="0" w:color="auto"/>
        <w:bottom w:val="none" w:sz="0" w:space="0" w:color="auto"/>
        <w:right w:val="none" w:sz="0" w:space="0" w:color="auto"/>
      </w:divBdr>
    </w:div>
    <w:div w:id="1952973319">
      <w:bodyDiv w:val="1"/>
      <w:marLeft w:val="0"/>
      <w:marRight w:val="0"/>
      <w:marTop w:val="0"/>
      <w:marBottom w:val="0"/>
      <w:divBdr>
        <w:top w:val="none" w:sz="0" w:space="0" w:color="auto"/>
        <w:left w:val="none" w:sz="0" w:space="0" w:color="auto"/>
        <w:bottom w:val="none" w:sz="0" w:space="0" w:color="auto"/>
        <w:right w:val="none" w:sz="0" w:space="0" w:color="auto"/>
      </w:divBdr>
    </w:div>
    <w:div w:id="1969385605">
      <w:bodyDiv w:val="1"/>
      <w:marLeft w:val="0"/>
      <w:marRight w:val="0"/>
      <w:marTop w:val="0"/>
      <w:marBottom w:val="0"/>
      <w:divBdr>
        <w:top w:val="none" w:sz="0" w:space="0" w:color="auto"/>
        <w:left w:val="none" w:sz="0" w:space="0" w:color="auto"/>
        <w:bottom w:val="none" w:sz="0" w:space="0" w:color="auto"/>
        <w:right w:val="none" w:sz="0" w:space="0" w:color="auto"/>
      </w:divBdr>
    </w:div>
    <w:div w:id="2026318455">
      <w:bodyDiv w:val="1"/>
      <w:marLeft w:val="0"/>
      <w:marRight w:val="0"/>
      <w:marTop w:val="0"/>
      <w:marBottom w:val="0"/>
      <w:divBdr>
        <w:top w:val="none" w:sz="0" w:space="0" w:color="auto"/>
        <w:left w:val="none" w:sz="0" w:space="0" w:color="auto"/>
        <w:bottom w:val="none" w:sz="0" w:space="0" w:color="auto"/>
        <w:right w:val="none" w:sz="0" w:space="0" w:color="auto"/>
      </w:divBdr>
    </w:div>
    <w:div w:id="2065904283">
      <w:bodyDiv w:val="1"/>
      <w:marLeft w:val="0"/>
      <w:marRight w:val="0"/>
      <w:marTop w:val="0"/>
      <w:marBottom w:val="0"/>
      <w:divBdr>
        <w:top w:val="none" w:sz="0" w:space="0" w:color="auto"/>
        <w:left w:val="none" w:sz="0" w:space="0" w:color="auto"/>
        <w:bottom w:val="none" w:sz="0" w:space="0" w:color="auto"/>
        <w:right w:val="none" w:sz="0" w:space="0" w:color="auto"/>
      </w:divBdr>
      <w:divsChild>
        <w:div w:id="1194882283">
          <w:marLeft w:val="0"/>
          <w:marRight w:val="0"/>
          <w:marTop w:val="0"/>
          <w:marBottom w:val="0"/>
          <w:divBdr>
            <w:top w:val="none" w:sz="0" w:space="0" w:color="auto"/>
            <w:left w:val="none" w:sz="0" w:space="0" w:color="auto"/>
            <w:bottom w:val="none" w:sz="0" w:space="0" w:color="auto"/>
            <w:right w:val="none" w:sz="0" w:space="0" w:color="auto"/>
          </w:divBdr>
          <w:divsChild>
            <w:div w:id="560478901">
              <w:marLeft w:val="0"/>
              <w:marRight w:val="0"/>
              <w:marTop w:val="0"/>
              <w:marBottom w:val="0"/>
              <w:divBdr>
                <w:top w:val="none" w:sz="0" w:space="0" w:color="auto"/>
                <w:left w:val="none" w:sz="0" w:space="0" w:color="auto"/>
                <w:bottom w:val="none" w:sz="0" w:space="0" w:color="auto"/>
                <w:right w:val="none" w:sz="0" w:space="0" w:color="auto"/>
              </w:divBdr>
              <w:divsChild>
                <w:div w:id="1625035731">
                  <w:marLeft w:val="0"/>
                  <w:marRight w:val="0"/>
                  <w:marTop w:val="0"/>
                  <w:marBottom w:val="0"/>
                  <w:divBdr>
                    <w:top w:val="none" w:sz="0" w:space="0" w:color="auto"/>
                    <w:left w:val="none" w:sz="0" w:space="0" w:color="auto"/>
                    <w:bottom w:val="none" w:sz="0" w:space="0" w:color="auto"/>
                    <w:right w:val="none" w:sz="0" w:space="0" w:color="auto"/>
                  </w:divBdr>
                  <w:divsChild>
                    <w:div w:id="411388869">
                      <w:marLeft w:val="0"/>
                      <w:marRight w:val="0"/>
                      <w:marTop w:val="0"/>
                      <w:marBottom w:val="0"/>
                      <w:divBdr>
                        <w:top w:val="none" w:sz="0" w:space="0" w:color="auto"/>
                        <w:left w:val="none" w:sz="0" w:space="0" w:color="auto"/>
                        <w:bottom w:val="none" w:sz="0" w:space="0" w:color="auto"/>
                        <w:right w:val="none" w:sz="0" w:space="0" w:color="auto"/>
                      </w:divBdr>
                      <w:divsChild>
                        <w:div w:id="838619419">
                          <w:marLeft w:val="0"/>
                          <w:marRight w:val="0"/>
                          <w:marTop w:val="0"/>
                          <w:marBottom w:val="0"/>
                          <w:divBdr>
                            <w:top w:val="none" w:sz="0" w:space="0" w:color="auto"/>
                            <w:left w:val="none" w:sz="0" w:space="0" w:color="auto"/>
                            <w:bottom w:val="none" w:sz="0" w:space="0" w:color="auto"/>
                            <w:right w:val="none" w:sz="0" w:space="0" w:color="auto"/>
                          </w:divBdr>
                          <w:divsChild>
                            <w:div w:id="18678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oodstandards.gov.au/science/exposure/Pages/dietaryexposureandin4438.aspx" TargetMode="External"/><Relationship Id="rId26" Type="http://schemas.openxmlformats.org/officeDocument/2006/relationships/hyperlink" Target="https://www.foodstandards.gov.au/code/applications/Documents/A1143_SD2%20at%20Approval_non-CCI.pdf" TargetMode="External"/><Relationship Id="rId21" Type="http://schemas.openxmlformats.org/officeDocument/2006/relationships/image" Target="media/image2.png"/><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oodstandards.gov.au/science/exposure/Pages/fsanzdietaryexposure4439.aspx" TargetMode="External"/><Relationship Id="rId25" Type="http://schemas.openxmlformats.org/officeDocument/2006/relationships/hyperlink" Target="https://www.foodstandards.gov.au/publications/Pages/Principles-and-Practices-of-Dietary.aspx"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nrv.gov.au" TargetMode="External"/><Relationship Id="rId20" Type="http://schemas.openxmlformats.org/officeDocument/2006/relationships/hyperlink" Target="https://www.foodstandards.gov.au/science/exposure/pages/foodconsumptiondatau4440.aspx" TargetMode="External"/><Relationship Id="rId29" Type="http://schemas.openxmlformats.org/officeDocument/2006/relationships/hyperlink" Target="https://extranet.who.int/dataform/upload/surveys/666752/files/Draft%20WHO%20SFA-TFA%20guidelines_04052018%20Public%20Consultation(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odstandards.gov.au/publications/documents/Transfat%20report%202007.pdf"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abs.gov.au/statistics/microdata-tablebuilder/available-microdata-tablebuilder/australian-health-survey-nutrition-and-physical-activity" TargetMode="External"/><Relationship Id="rId28" Type="http://schemas.openxmlformats.org/officeDocument/2006/relationships/hyperlink" Target="https://www.oecd.org/env/ehs/biotrack/49343153.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oodstandards.gov.au/science/exposure/pages/foodconsumptiondatau4440.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bs.gov.au/statistics/health/health-conditions-and-risks/australian-health-survey-nutrition-first-results-foods-and-nutrients/latest-release" TargetMode="External"/><Relationship Id="rId27" Type="http://schemas.openxmlformats.org/officeDocument/2006/relationships/hyperlink" Target="https://www.health.govt.nz/system/files/documents/publications/nzfoodnzchildren.pdf" TargetMode="External"/><Relationship Id="rId30" Type="http://schemas.openxmlformats.org/officeDocument/2006/relationships/header" Target="header2.xm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38039F33-B327-499E-88E7-20F99DD7EAAA}">
  <ds:schemaRefs>
    <ds:schemaRef ds:uri="http://schemas.openxmlformats.org/officeDocument/2006/bibliography"/>
  </ds:schemaRefs>
</ds:datastoreItem>
</file>

<file path=customXml/itemProps2.xml><?xml version="1.0" encoding="utf-8"?>
<ds:datastoreItem xmlns:ds="http://schemas.openxmlformats.org/officeDocument/2006/customXml" ds:itemID="{398EF716-B948-4FEA-B7B3-185E1798C095}">
  <ds:schemaRefs>
    <ds:schemaRef ds:uri="http://schemas.microsoft.com/office/2006/metadata/properties"/>
    <ds:schemaRef ds:uri="dae2aec2-5ad0-4d76-aa7b-990c9a14db5a"/>
    <ds:schemaRef ds:uri="http://schemas.microsoft.com/sharepoint/v3"/>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30F89DC-3F84-4871-AE08-FAA5774BB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2aec2-5ad0-4d76-aa7b-990c9a14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6BDC7-577B-4B81-B37E-2B4E8C6294F3}">
  <ds:schemaRefs>
    <ds:schemaRef ds:uri="http://schemas.microsoft.com/sharepoint/v3/contenttype/forms"/>
  </ds:schemaRefs>
</ds:datastoreItem>
</file>

<file path=customXml/itemProps5.xml><?xml version="1.0" encoding="utf-8"?>
<ds:datastoreItem xmlns:ds="http://schemas.openxmlformats.org/officeDocument/2006/customXml" ds:itemID="{22485FB1-0A27-4CBA-954D-B041194A05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8193</Words>
  <Characters>46704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02_A1239_SD2</vt:lpstr>
    </vt:vector>
  </TitlesOfParts>
  <Company>ANZFA</Company>
  <LinksUpToDate>false</LinksUpToDate>
  <CharactersWithSpaces>54788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02_A1239_SD2</dc:title>
  <dc:subject/>
  <dc:creator>seymok</dc:creator>
  <cp:keywords/>
  <dc:description/>
  <cp:lastModifiedBy>Tailee Vecchi</cp:lastModifiedBy>
  <cp:revision>2</cp:revision>
  <cp:lastPrinted>2022-09-14T01:08:00Z</cp:lastPrinted>
  <dcterms:created xsi:type="dcterms:W3CDTF">2022-09-14T02:06:00Z</dcterms:created>
  <dcterms:modified xsi:type="dcterms:W3CDTF">2022-09-14T02:06:00Z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76b890e5-43c8-493d-8e2c-6336e9bd6091</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1d3a6a97-f3de-4ad8-b9d1-f1bdddd3a678</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bjClsUserRVM">
    <vt:lpwstr>[]</vt:lpwstr>
  </property>
  <property fmtid="{D5CDD505-2E9C-101B-9397-08002B2CF9AE}" pid="9" name="pd3a3559ef84480a8025c4c7bb6e6dee">
    <vt:lpwstr/>
  </property>
  <property fmtid="{D5CDD505-2E9C-101B-9397-08002B2CF9AE}" pid="10" name="h46016694f704d158a57d0b5238c000e">
    <vt:lpwstr/>
  </property>
  <property fmtid="{D5CDD505-2E9C-101B-9397-08002B2CF9AE}" pid="11" name="Data Category">
    <vt:lpwstr/>
  </property>
  <property fmtid="{D5CDD505-2E9C-101B-9397-08002B2CF9AE}" pid="12" name="Data_x0020_Privacy">
    <vt:lpwstr/>
  </property>
  <property fmtid="{D5CDD505-2E9C-101B-9397-08002B2CF9AE}" pid="13" name="Data Privacy">
    <vt:lpwstr/>
  </property>
  <property fmtid="{D5CDD505-2E9C-101B-9397-08002B2CF9AE}" pid="14" name="Data Accessibility">
    <vt:lpwstr/>
  </property>
  <property fmtid="{D5CDD505-2E9C-101B-9397-08002B2CF9AE}" pid="15" name="BCS">
    <vt:lpwstr>2;#Evaluation|43cb9915-dbd2-4e45-b39d-7bc5c58c72da</vt:lpwstr>
  </property>
  <property fmtid="{D5CDD505-2E9C-101B-9397-08002B2CF9AE}" pid="16" name="Access">
    <vt:lpwstr/>
  </property>
  <property fmtid="{D5CDD505-2E9C-101B-9397-08002B2CF9AE}" pid="17" name="Classification">
    <vt:lpwstr>1;#OFFICIAL|3776503d-ed4e-4d70-8dfd-8e17b238523b</vt:lpwstr>
  </property>
  <property fmtid="{D5CDD505-2E9C-101B-9397-08002B2CF9AE}" pid="18" name="Data_x0020_Category">
    <vt:lpwstr/>
  </property>
  <property fmtid="{D5CDD505-2E9C-101B-9397-08002B2CF9AE}" pid="19" name="Data_x0020_Accessibility">
    <vt:lpwstr/>
  </property>
  <property fmtid="{D5CDD505-2E9C-101B-9397-08002B2CF9AE}" pid="20" name="o2e94e0b7bb742308b3aec7384781dc0">
    <vt:lpwstr/>
  </property>
  <property fmtid="{D5CDD505-2E9C-101B-9397-08002B2CF9AE}" pid="21"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2" name="bjDocumentLabelXML-0">
    <vt:lpwstr>ames.com/2008/01/sie/internal/label"&gt;&lt;element uid="66ddac19-06c4-4e63-b4dd-d8240d87a23f" value="" /&gt;&lt;/sisl&gt;</vt:lpwstr>
  </property>
  <property fmtid="{D5CDD505-2E9C-101B-9397-08002B2CF9AE}" pid="23" name="bjDocumentSecurityLabel">
    <vt:lpwstr>NO SECURITY CLASSIFICATION REQUIRED</vt:lpwstr>
  </property>
</Properties>
</file>